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06" w:after="160"/>
        <w:ind w:right="1222" w:hanging="0"/>
        <w:jc w:val="center"/>
        <w:rPr/>
      </w:pPr>
      <w:r>
        <w:rPr/>
        <w:drawing>
          <wp:inline distT="0" distB="0" distL="0" distR="0">
            <wp:extent cx="1882140" cy="14478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882140" cy="1447800"/>
                    </a:xfrm>
                    <a:prstGeom prst="rect">
                      <a:avLst/>
                    </a:prstGeom>
                  </pic:spPr>
                </pic:pic>
              </a:graphicData>
            </a:graphic>
          </wp:inline>
        </w:drawing>
      </w:r>
    </w:p>
    <w:p>
      <w:pPr>
        <w:pStyle w:val="Normal"/>
        <w:spacing w:before="206" w:after="160"/>
        <w:ind w:right="1222" w:hanging="0"/>
        <w:jc w:val="center"/>
        <w:rPr/>
      </w:pPr>
      <w:r>
        <w:rPr/>
      </w:r>
    </w:p>
    <w:p>
      <w:pPr>
        <w:pStyle w:val="Normal"/>
        <w:spacing w:before="206" w:after="160"/>
        <w:ind w:right="1222" w:hanging="0"/>
        <w:jc w:val="center"/>
        <w:rPr/>
      </w:pPr>
      <w:hyperlink r:id="rId3">
        <w:r>
          <w:rPr>
            <w:rStyle w:val="InternetLink"/>
            <w:rFonts w:eastAsia="Calibri" w:cs="Times New Roman" w:ascii="Arial" w:hAnsi="Arial"/>
            <w:b/>
            <w:sz w:val="39"/>
          </w:rPr>
          <w:t>WWW.WEBINARCECLASSES.COM</w:t>
        </w:r>
      </w:hyperlink>
      <w:r>
        <w:rPr>
          <w:rFonts w:eastAsia="Calibri" w:cs="Times New Roman" w:ascii="Arial" w:hAnsi="Arial"/>
          <w:b/>
          <w:color w:val="387AC7"/>
          <w:sz w:val="39"/>
        </w:rPr>
        <w:t xml:space="preserve"> PRESENTS:</w:t>
      </w:r>
    </w:p>
    <w:p>
      <w:pPr>
        <w:pStyle w:val="Normal"/>
        <w:widowControl w:val="false"/>
        <w:spacing w:lineRule="auto" w:line="240" w:before="10" w:after="0"/>
        <w:ind w:left="100" w:hanging="0"/>
        <w:rPr>
          <w:rFonts w:ascii="Arial" w:hAnsi="Arial" w:eastAsia="MV Boli" w:cs="MV Boli"/>
          <w:b/>
          <w:b/>
          <w:i/>
          <w:i/>
          <w:sz w:val="10"/>
          <w:szCs w:val="24"/>
        </w:rPr>
      </w:pPr>
      <w:r>
        <w:rPr>
          <w:rFonts w:eastAsia="MV Boli" w:cs="MV Boli" w:ascii="Arial" w:hAnsi="Arial"/>
          <w:b/>
          <w:i/>
          <w:sz w:val="10"/>
          <w:szCs w:val="24"/>
        </w:rPr>
        <mc:AlternateContent>
          <mc:Choice Requires="wpg">
            <w:drawing>
              <wp:anchor behindDoc="0" distT="0" distB="0" distL="0" distR="0" simplePos="0" locked="0" layoutInCell="1" allowOverlap="1" relativeHeight="3" wp14:anchorId="28932137">
                <wp:simplePos x="0" y="0"/>
                <wp:positionH relativeFrom="page">
                  <wp:posOffset>1200785</wp:posOffset>
                </wp:positionH>
                <wp:positionV relativeFrom="paragraph">
                  <wp:posOffset>104775</wp:posOffset>
                </wp:positionV>
                <wp:extent cx="5372735" cy="10160"/>
                <wp:effectExtent l="0" t="0" r="19050" b="9525"/>
                <wp:wrapTopAndBottom/>
                <wp:docPr id="2" name="Group 9"/>
                <a:graphic xmlns:a="http://schemas.openxmlformats.org/drawingml/2006/main">
                  <a:graphicData uri="http://schemas.microsoft.com/office/word/2010/wordprocessingGroup">
                    <wpg:wgp>
                      <wpg:cNvGrpSpPr/>
                      <wpg:grpSpPr>
                        <a:xfrm>
                          <a:off x="0" y="0"/>
                          <a:ext cx="5372280" cy="9360"/>
                        </a:xfrm>
                      </wpg:grpSpPr>
                      <wps:wsp>
                        <wps:cNvSpPr/>
                        <wps:spPr>
                          <a:xfrm>
                            <a:off x="0" y="0"/>
                            <a:ext cx="5068080" cy="0"/>
                          </a:xfrm>
                          <a:prstGeom prst="line">
                            <a:avLst/>
                          </a:prstGeom>
                          <a:ln w="9000">
                            <a:solidFill>
                              <a:srgbClr val="387ac7"/>
                            </a:solidFill>
                            <a:round/>
                          </a:ln>
                        </wps:spPr>
                        <wps:style>
                          <a:lnRef idx="0"/>
                          <a:fillRef idx="0"/>
                          <a:effectRef idx="0"/>
                          <a:fontRef idx="minor"/>
                        </wps:style>
                        <wps:bodyPr/>
                      </wps:wsp>
                      <wps:wsp>
                        <wps:cNvSpPr/>
                        <wps:spPr>
                          <a:xfrm>
                            <a:off x="0" y="0"/>
                            <a:ext cx="5068080" cy="0"/>
                          </a:xfrm>
                          <a:prstGeom prst="line">
                            <a:avLst/>
                          </a:prstGeom>
                          <a:ln w="9000">
                            <a:solidFill>
                              <a:srgbClr val="387ac7"/>
                            </a:solidFill>
                            <a:round/>
                          </a:ln>
                        </wps:spPr>
                        <wps:style>
                          <a:lnRef idx="0"/>
                          <a:fillRef idx="0"/>
                          <a:effectRef idx="0"/>
                          <a:fontRef idx="minor"/>
                        </wps:style>
                        <wps:bodyPr/>
                      </wps:wsp>
                      <pic:pic xmlns:pic="http://schemas.openxmlformats.org/drawingml/2006/picture">
                        <pic:nvPicPr>
                          <pic:cNvPr id="0" name="Picture 5" descr=""/>
                          <pic:cNvPicPr/>
                        </pic:nvPicPr>
                        <pic:blipFill>
                          <a:blip r:embed="rId4"/>
                          <a:stretch/>
                        </pic:blipFill>
                        <pic:spPr>
                          <a:xfrm>
                            <a:off x="5294160" y="7560"/>
                            <a:ext cx="78120" cy="1800"/>
                          </a:xfrm>
                          <a:prstGeom prst="rect">
                            <a:avLst/>
                          </a:prstGeom>
                          <a:ln>
                            <a:noFill/>
                          </a:ln>
                        </pic:spPr>
                      </pic:pic>
                    </wpg:wgp>
                  </a:graphicData>
                </a:graphic>
              </wp:anchor>
            </w:drawing>
          </mc:Choice>
          <mc:Fallback>
            <w:pict>
              <v:group id="shape_0" alt="Group 9" style="position:absolute;margin-left:94.55pt;margin-top:8.25pt;width:423pt;height:0.75pt" coordorigin="1891,165" coordsize="8460,15">
                <v:line id="shape_0" from="1891,165" to="9871,165" ID="Line 3" stroked="t" style="position:absolute;mso-position-horizontal-relative:page">
                  <v:stroke color="#387ac7" weight="9000" joinstyle="round" endcap="flat"/>
                  <v:fill o:detectmouseclick="t" on="false"/>
                </v:line>
                <v:line id="shape_0" from="1891,165" to="9871,165" ID="Line 4" stroked="t" style="position:absolute;mso-position-horizontal-relative:page">
                  <v:stroke color="#387ac7" weight="9000" joinstyle="round" endcap="flat"/>
                  <v:fill o:detectmouseclick="t" on="false"/>
                </v:lin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5" stroked="f" style="position:absolute;left:10229;top:177;width:122;height:2;mso-position-horizontal-relative:page" type="shapetype_75">
                  <v:imagedata r:id="rId4" o:detectmouseclick="t"/>
                  <w10:wrap type="none"/>
                  <v:stroke color="#3465a4" joinstyle="round" endcap="flat"/>
                </v:shape>
              </v:group>
            </w:pict>
          </mc:Fallback>
        </mc:AlternateContent>
      </w:r>
    </w:p>
    <w:p>
      <w:pPr>
        <w:pStyle w:val="Normal"/>
        <w:widowControl w:val="false"/>
        <w:spacing w:lineRule="auto" w:line="240" w:before="0" w:after="0"/>
        <w:ind w:left="100" w:hanging="0"/>
        <w:rPr>
          <w:rFonts w:ascii="Arial" w:hAnsi="Arial" w:eastAsia="MV Boli" w:cs="MV Boli"/>
          <w:b/>
          <w:b/>
          <w:i/>
          <w:i/>
          <w:sz w:val="20"/>
          <w:szCs w:val="24"/>
        </w:rPr>
      </w:pPr>
      <w:r>
        <w:rPr>
          <w:rFonts w:eastAsia="MV Boli" w:cs="MV Boli" w:ascii="Arial" w:hAnsi="Arial"/>
          <w:b/>
          <w:i/>
          <w:sz w:val="20"/>
          <w:szCs w:val="24"/>
        </w:rPr>
      </w:r>
    </w:p>
    <w:p>
      <w:pPr>
        <w:pStyle w:val="Normal"/>
        <w:widowControl w:val="false"/>
        <w:spacing w:lineRule="auto" w:line="240" w:before="9" w:after="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Title"/>
        <w:rPr>
          <w:rFonts w:eastAsia="Arial"/>
          <w:b w:val="false"/>
          <w:b w:val="false"/>
          <w:highlight w:val="yellow"/>
          <w:lang w:bidi="en-US"/>
        </w:rPr>
      </w:pPr>
      <w:r>
        <w:t>Public psychology and holistic approaches to prevention and treatment of depression</w:t>
      </w:r>
    </w:p>
    <w:p>
      <w:pPr>
        <w:pStyle w:val="Normal"/>
        <w:widowControl w:val="false"/>
        <w:spacing w:lineRule="auto" w:line="240" w:before="9" w:after="0"/>
        <w:ind w:left="100" w:hanging="0"/>
        <w:jc w:val="center"/>
        <w:rPr>
          <w:rFonts w:ascii="Arial" w:hAnsi="Arial" w:eastAsia="Arial" w:cs="Arial"/>
          <w:b/>
          <w:b/>
          <w:color w:val="2C2C2C"/>
          <w:sz w:val="30"/>
          <w:highlight w:val="yellow"/>
          <w:lang w:bidi="en-US"/>
        </w:rPr>
      </w:pPr>
      <w:r>
        <w:rPr>
          <w:rFonts w:eastAsia="Arial" w:cs="Arial" w:ascii="Arial" w:hAnsi="Arial"/>
          <w:b/>
          <w:color w:val="2C2C2C"/>
          <w:sz w:val="30"/>
          <w:highlight w:val="yellow"/>
          <w:lang w:bidi="en-US"/>
        </w:rPr>
      </w:r>
    </w:p>
    <w:p>
      <w:pPr>
        <w:pStyle w:val="Heading1"/>
        <w:rPr>
          <w:rFonts w:eastAsia="Arial"/>
          <w:highlight w:val="yellow"/>
          <w:lang w:bidi="en-US"/>
        </w:rPr>
      </w:pPr>
      <w:r>
        <w:t>AUTHOR: Carvajal Icus</w:t>
      </w:r>
    </w:p>
    <w:p>
      <w:pPr>
        <w:pStyle w:val="Normal"/>
        <w:rPr>
          <w:highlight w:val="yellow"/>
          <w:lang w:bidi="en-US"/>
        </w:rPr>
      </w:pPr>
      <w:r>
        <w:rPr>
          <w:highlight w:val="yellow"/>
          <w:lang w:bidi="en-US"/>
        </w:rPr>
      </w:r>
    </w:p>
    <w:p>
      <w:pPr>
        <w:pStyle w:val="Normal"/>
        <w:jc w:val="center"/>
        <w:rPr>
          <w:rFonts w:ascii="Arial" w:hAnsi="Arial" w:cs="Arial"/>
          <w:b/>
          <w:b/>
          <w:bCs/>
          <w:sz w:val="32"/>
          <w:szCs w:val="32"/>
          <w:lang w:bidi="en-US"/>
        </w:rPr>
      </w:pPr>
      <w:r>
        <w:rPr>
          <w:rFonts w:cs="Arial" w:ascii="Arial" w:hAnsi="Arial"/>
          <w:b/>
          <w:bCs/>
          <w:sz w:val="32"/>
          <w:szCs w:val="32"/>
          <w:lang w:bidi="en-US"/>
        </w:rPr>
        <w:t xml:space="preserve">1 </w:t>
      </w:r>
      <w:r>
        <w:rPr>
          <w:rFonts w:cs="Arial" w:ascii="Arial" w:hAnsi="Arial"/>
          <w:b/>
          <w:bCs/>
          <w:sz w:val="32"/>
          <w:szCs w:val="32"/>
          <w:lang w:bidi="en-US"/>
        </w:rPr>
        <w:t xml:space="preserve"> CE Credits</w:t>
      </w:r>
    </w:p>
    <w:p>
      <w:pPr>
        <w:pStyle w:val="Normal"/>
        <w:jc w:val="center"/>
        <w:rPr>
          <w:rFonts w:ascii="Arial" w:hAnsi="Arial" w:cs="Arial"/>
          <w:b/>
          <w:b/>
          <w:bCs/>
          <w:sz w:val="32"/>
          <w:szCs w:val="32"/>
          <w:lang w:bidi="en-US"/>
        </w:rPr>
      </w:pPr>
      <w:r>
        <w:rPr>
          <w:rFonts w:cs="Arial" w:ascii="Arial" w:hAnsi="Arial"/>
          <w:b/>
          <w:bCs/>
          <w:sz w:val="32"/>
          <w:szCs w:val="32"/>
          <w:lang w:bidi="en-US"/>
        </w:rPr>
        <w:t>HOMESTUDY</w:t>
      </w:r>
    </w:p>
    <w:p>
      <w:pPr>
        <w:pStyle w:val="Normal"/>
        <w:jc w:val="center"/>
        <w:rPr/>
      </w:pPr>
      <w:r>
        <w:rPr>
          <w:rFonts w:cs="Arial" w:ascii="Arial" w:hAnsi="Arial"/>
          <w:b/>
          <w:bCs/>
          <w:sz w:val="32"/>
          <w:szCs w:val="32"/>
          <w:lang w:bidi="en-US"/>
        </w:rPr>
        <w:t xml:space="preserve">Held online at </w:t>
      </w:r>
      <w:hyperlink r:id="rId5">
        <w:r>
          <w:rPr>
            <w:rStyle w:val="ListLabel4"/>
            <w:rFonts w:cs="Arial" w:ascii="Arial" w:hAnsi="Arial"/>
            <w:b/>
            <w:bCs/>
            <w:sz w:val="32"/>
            <w:szCs w:val="32"/>
            <w:lang w:bidi="en-US"/>
          </w:rPr>
          <w:t>www.webinarceclasses.com</w:t>
        </w:r>
      </w:hyperlink>
    </w:p>
    <w:p>
      <w:pPr>
        <w:pStyle w:val="Normal"/>
        <w:widowControl w:val="false"/>
        <w:spacing w:lineRule="exact" w:line="256" w:before="257" w:after="0"/>
        <w:jc w:val="center"/>
        <w:rPr>
          <w:rStyle w:val="Strong"/>
        </w:rPr>
      </w:pPr>
      <w:r>
        <w:rPr>
          <w:rStyle w:val="Strong"/>
        </w:rPr>
        <w:t>Online registration</w:t>
      </w:r>
    </w:p>
    <w:p>
      <w:pPr>
        <w:pStyle w:val="Normal"/>
        <w:jc w:val="center"/>
        <w:rPr>
          <w:rStyle w:val="Strong"/>
          <w:highlight w:val="yellow"/>
        </w:rPr>
      </w:pPr>
      <w:r>
        <w:rPr>
          <w:rStyle w:val="Strong"/>
        </w:rPr>
        <w:t xml:space="preserve">Cost: </w:t>
      </w:r>
      <w:r>
        <w:rPr>
          <w:rStyle w:val="Strong"/>
        </w:rPr>
        <w:t xml:space="preserve">$1 </w:t>
      </w:r>
      <w:r>
        <w:rPr>
          <w:rStyle w:val="Strong"/>
        </w:rPr>
        <w:t>DOLLARS</w:t>
      </w:r>
    </w:p>
    <w:p>
      <w:pPr>
        <w:pStyle w:val="Normal"/>
        <w:rPr>
          <w:highlight w:val="yellow"/>
          <w:lang w:bidi="en-US"/>
        </w:rPr>
      </w:pPr>
      <w:r>
        <w:rPr>
          <w:highlight w:val="yellow"/>
          <w:lang w:bidi="en-US"/>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Highlight"/>
        <w:rPr/>
      </w:pPr>
      <w:r>
        <w:t>Audience: Psychologists, Psychiatrists, Clinical Social Workers, Mental Health Counselors and Public Health Professionals.</w:t>
      </w:r>
    </w:p>
    <w:p>
      <w:pPr>
        <w:pStyle w:val="Highlight"/>
        <w:rPr/>
      </w:pPr>
      <w:r>
        <w:t>Instructional Level: advanced</w:t>
      </w:r>
    </w:p>
    <w:p>
      <w:pPr>
        <w:pStyle w:val="Normal"/>
        <w:widowControl w:val="false"/>
        <w:numPr>
          <w:ilvl w:val="0"/>
          <w:numId w:val="0"/>
        </w:numPr>
        <w:spacing w:lineRule="auto" w:line="276" w:before="1" w:after="0"/>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r>
    </w:p>
    <w:p>
      <w:pPr>
        <w:pStyle w:val="Heading2"/>
        <w:rPr>
          <w:rFonts w:eastAsia="Times New Roman"/>
          <w:b w:val="false"/>
          <w:b w:val="false"/>
          <w:highlight w:val="yellow"/>
          <w:lang w:bidi="en-US"/>
        </w:rPr>
      </w:pPr>
      <w:r>
        <w:rPr>
          <w:rFonts w:eastAsia="Times New Roman"/>
          <w:lang w:bidi="en-US"/>
        </w:rPr>
        <w:t>Course Goals and Educational Objectives:</w:t>
      </w:r>
    </w:p>
    <w:p>
      <w:pPr>
        <w:pStyle w:val="Normal"/>
        <w:widowControl w:val="false"/>
        <w:spacing w:lineRule="auto" w:line="276" w:before="10" w:after="0"/>
        <w:ind w:left="100" w:hanging="0"/>
        <w:rPr>
          <w:rFonts w:ascii="Times New Roman" w:hAnsi="Times New Roman" w:eastAsia="MV Boli" w:cs="Times New Roman"/>
          <w:b/>
          <w:b/>
          <w:i/>
          <w:i/>
          <w:sz w:val="24"/>
          <w:szCs w:val="24"/>
        </w:rPr>
      </w:pPr>
      <w:r>
        <w:rPr>
          <w:rFonts w:eastAsia="MV Boli" w:cs="Times New Roman" w:ascii="Times New Roman" w:hAnsi="Times New Roman"/>
          <w:b/>
          <w:i/>
          <w:sz w:val="24"/>
          <w:szCs w:val="24"/>
        </w:rPr>
      </w:r>
    </w:p>
    <w:p>
      <w:pPr>
        <w:pStyle w:val="Normal"/>
        <w:spacing w:lineRule="auto" w:line="276"/>
        <w:rPr>
          <w:rFonts w:ascii="Times New Roman" w:hAnsi="Times New Roman" w:eastAsia="Calibri" w:cs="Times New Roman"/>
          <w:b/>
          <w:b/>
          <w:sz w:val="24"/>
          <w:szCs w:val="24"/>
          <w:highlight w:val="yellow"/>
        </w:rPr>
      </w:pPr>
      <w:r>
        <w:rPr>
          <w:rFonts w:eastAsia="Calibri" w:cs="Times New Roman" w:ascii="Times New Roman" w:hAnsi="Times New Roman"/>
          <w:b/>
          <w:sz w:val="24"/>
          <w:szCs w:val="24"/>
        </w:rPr>
        <w:t>The attendees will be able to:</w:t>
      </w:r>
    </w:p>
    <w:p>
      <w:pPr>
        <w:pStyle w:val="Highlight"/>
        <w:rPr>
          <w:b/>
          <w:b/>
          <w:bCs/>
          <w:highlight w:val="yellow"/>
        </w:rPr>
      </w:pPr>
      <w:r>
        <w:t>1. Describe 3 key pillars of lifestyle medicine foundational to whole person health and depression prevention.</w:t>
        <w:br/>
        <w:t>2. Identify 4 mechanisms of healing from positive psychology and placebo research applicable to mental health.</w:t>
        <w:br/>
        <w:t>3. Explain 3 ways environmental design can promote community wellbeing and reduce depression risk.</w:t>
        <w:br/>
        <w:t>4. Summarize 3 dietary strategies supported by research to enhance mental wellbeing and reduce depressive symptoms.</w:t>
      </w:r>
    </w:p>
    <w:p>
      <w:pPr>
        <w:pStyle w:val="Highlight"/>
        <w:rPr>
          <w:highlight w:val="yellow"/>
        </w:rPr>
      </w:pPr>
      <w:r>
        <w:t>Course Description: This course explores an integrative, holistic framework for the prevention and treatment of depression addressing biological, psychological, social, environmental, and spiritual determinants of wellbeing. It critiques reductionist biomedical models and advocates lifestyle medicine principles, mind-body regulation, nutrition, and community environment design to promote mental health and resilience. Emphasis is placed on evidence-based strategies, systemic change, and individualized approaches to foster thriving at individual and societal levels.</w:t>
      </w:r>
    </w:p>
    <w:p>
      <w:pPr>
        <w:pStyle w:val="Normal"/>
        <w:widowControl w:val="false"/>
        <w:numPr>
          <w:ilvl w:val="0"/>
          <w:numId w:val="0"/>
        </w:numPr>
        <w:spacing w:lineRule="auto" w:line="276" w:before="165" w:after="0"/>
        <w:jc w:val="center"/>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t>Conflicts of Interest Policy</w:t>
      </w:r>
    </w:p>
    <w:p>
      <w:r>
        <w:t xml:space="preserve">As an APA-approved sponsor of continuing education, WebinarCeclasses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r>
        <w:rPr>
          <w:b/>
        </w:rPr>
        <w:t xml:space="preserve">Potential Conflicts of Interest in the Planning of Continuing Education</w:t>
      </w:r>
    </w:p>
    <w:p>
      <w:r>
        <w:t xml:space="preserve">Dr. Carvajal is responsible to identify, declare, and resolve any potential conflict of interest WebinarCEclasses may have in offering any specific program of continuing education. In the event of a potential conflict of interest, Dr. Carvajal will assume responsibility to resolve the potential conflict by:</w:t>
      </w:r>
    </w:p>
    <w:p>
      <w:r>
        <w:t xml:space="preserve">• Informing persons involved of the existence of the conflict</w:t>
      </w:r>
    </w:p>
    <w:p>
      <w:r>
        <w:t xml:space="preserve">• Allowing persons involved to examine and rectify the conflict</w:t>
      </w:r>
    </w:p>
    <w:p>
      <w:r>
        <w:t xml:space="preserve">• Reviewing whether the conflict was indeed resolved</w:t>
      </w:r>
    </w:p>
    <w:p>
      <w:r>
        <w:t xml:space="preserve">• Requesting updates and reviews until the conflict is fully resolved</w:t>
      </w:r>
    </w:p>
    <w:p>
      <w:r>
        <w:t xml:space="preserve">WebinarCEclasses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r>
        <w:rPr>
          <w:b/>
        </w:rPr>
        <w:t xml:space="preserve">Potential Conflicts of Interest in the Promotion of Continuing Education</w:t>
      </w:r>
    </w:p>
    <w:p>
      <w:r>
        <w:t xml:space="preserve">When preparing promotional material for continuing education, WebinarCEclasses includes information concerning any financial support, including in-kind support, provided by another party. WebinarCEclasses also informs potential participants of any potential conflicts of interest an instructor. If there is no financial support or any potential conflict of interest or commercial support, WebinarCEclasses will ensure that is clearly stated in the promotional material. If information about financial support or any potential conflict of interest is not included in the promotional material prepared for continuing education, WebinarCEclasses will clearly indicate how a potential participant can secure that information.</w:t>
      </w:r>
    </w:p>
    <w:p>
      <w:r>
        <w:rPr>
          <w:b/>
        </w:rPr>
        <w:t xml:space="preserve">Potential Conflicts of Interest in the Delivery of Continuing Education</w:t>
      </w:r>
    </w:p>
    <w:p>
      <w:r>
        <w:t xml:space="preserve">WebinarCEclasses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WebinarCEclasses will ensure there is a process (e.g., a designated individual or a slide at the start of the presentation, documentation in materials) to clearly state any potential conflicts at the time the continuing education program begins.</w:t>
      </w:r>
    </w:p>
    <w:p>
      <w:r>
        <w:t xml:space="preserve">The author receives an honorarium payment from webinarceclasses</w:t>
      </w:r>
    </w:p>
    <w:p>
      <w:r>
        <w:rPr>
          <w:b/>
        </w:rPr>
        <w:t xml:space="preserve">"WebinarCEclasses is approved by the American Psychological Association to sponsor continuing education for psychologists. WebinarCEclasses maintains responsibility for this program and its content."</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 xml:space="preserve">WEBINARCECLASSES</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GRIEVANCE PROCEDURE</w:t>
      </w:r>
    </w:p>
    <w:p>
      <w:r>
        <w:t xml:space="preserve">Webinarceclasses is fully committed to conducting all activities in strict conformance with the American Psychological Association’s Ethical Principles of Psychologists and the standards of the Association of Social Work Boards. Webinarceclasses will comply with all legal and ethical responsibilities to be non-discriminatory in promotional activities, program content, and in the treatment of program participants. The monitoring and assessment of compliance with these standards will be the responsibility of Dr. Carvajal, Ph.D.</w:t>
      </w:r>
    </w:p>
    <w:p>
      <w:r>
        <w:t xml:space="preserve">While Webinarceclasses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r>
        <w:t xml:space="preserve">Seminar participants will be asked to provide written feedback about the seminar at the end of the presentation. Space will be included to express any grievance they might have with the program. When a participant, either orally or in written format, files a grievance or expects action on the complaint, the following actions will be taken:</w:t>
      </w:r>
    </w:p>
    <w:p>
      <w:r>
        <w:t xml:space="preserve">1. If the grievance concerns a speaker, the content presented by the speaker, or the style of presentation, the individual filing the grievance will be asked to put his/her comments in written format. Dr. Carvajal will then pass on the comments to the speaker, assuring the confidentiality of the grieved individual.</w:t>
      </w:r>
    </w:p>
    <w:p>
      <w:r>
        <w:t xml:space="preserve">2. If the grievance concerns a workshop offering, its content, level of presentation, or the facilities in which the workshop was offered, Dr. Carvajal will mediate and will be the final arbitrator. If the participant requests action, the CEO will:</w:t>
      </w:r>
    </w:p>
    <w:p>
      <w:r>
        <w:t xml:space="preserve">• attempt to move the participant to another workshop or</w:t>
      </w:r>
    </w:p>
    <w:p>
      <w:r>
        <w:t xml:space="preserve">• provide a credit for a subsequent year’s workshop or</w:t>
      </w:r>
    </w:p>
    <w:p>
      <w:r>
        <w:t xml:space="preserve">• provide a partial or full refund of the workshop fee</w:t>
      </w:r>
    </w:p>
    <w:p>
      <w:r>
        <w:t xml:space="preserve">Actions 2b and 2c will require a written note, documenting the grievance, for record keeping purposes. The note need not be signed by the grieved individual.</w:t>
      </w:r>
    </w:p>
    <w:p>
      <w:r>
        <w:t xml:space="preserve">3. If the grievance concerns Webinarceclasses CE program, in a specific regard, Dr. Carvajal will attempt to arbitrate.</w:t>
      </w:r>
    </w:p>
    <w:p>
      <w:r>
        <w:t xml:space="preserve">Please go to Webinarceclasses.com to submit a complaint, or if you have additional questions.</w:t>
      </w:r>
    </w:p>
    <w:p>
      <w:r>
        <w:t xml:space="preserve">Additionally, you can send your complaints to:</w:t>
      </w:r>
    </w:p>
    <w:p>
      <w:r>
        <w:t xml:space="preserve">Franklin Carvajal</w:t>
      </w:r>
    </w:p>
    <w:p>
      <w:r>
        <w:t xml:space="preserve">3456 Wesley Street</w:t>
      </w:r>
    </w:p>
    <w:p>
      <w:r>
        <w:t xml:space="preserve">Culver City, CA 90232</w:t>
      </w:r>
    </w:p>
    <w:sectPr>
      <w:type w:val="nextPage"/>
      <w:pgSz w:w="12240" w:h="15840"/>
      <w:pgMar w:left="1440" w:right="1440" w:header="0" w:top="117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lvl w:ilvl="0">
      <w:start w:val="1"/>
      <w:numFmt w:val="decimal"/>
      <w:lvlText w:val="%1."/>
      <w:lvlJc w:val="left"/>
      <w:pPr>
        <w:ind w:left="460" w:hanging="360"/>
      </w:pPr>
      <w:rPr>
        <w:sz w:val="24"/>
        <w:rFonts w:ascii="Times New Roman" w:hAnsi="Times New Roman"/>
        <w:color w:val="231F20"/>
      </w:rPr>
    </w:lvl>
    <w:lvl w:ilvl="1">
      <w:start w:val="1"/>
      <w:numFmt w:val="lowerLetter"/>
      <w:lvlText w:val="%2."/>
      <w:lvlJc w:val="left"/>
      <w:pPr>
        <w:ind w:left="1180" w:hanging="360"/>
      </w:pPr>
      <w:rPr>
        <w:sz w:val="24"/>
        <w:rFonts w:ascii="Times New Roman" w:hAnsi="Times New Roman" w:eastAsia="MV Boli" w:cs="Times New Roman"/>
      </w:r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1f30"/>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be5223"/>
    <w:pPr>
      <w:keepNext w:val="true"/>
      <w:keepLines/>
      <w:spacing w:before="240" w:after="0"/>
      <w:jc w:val="center"/>
      <w:outlineLvl w:val="0"/>
    </w:pPr>
    <w:rPr>
      <w:rFonts w:ascii="Arial" w:hAnsi="Arial" w:eastAsia="" w:cs="Times New Roman" w:cstheme="majorBidi" w:eastAsiaTheme="majorEastAsia"/>
      <w:b/>
      <w:sz w:val="32"/>
      <w:szCs w:val="32"/>
    </w:rPr>
  </w:style>
  <w:style w:type="paragraph" w:styleId="Heading2">
    <w:name w:val="Heading 2"/>
    <w:basedOn w:val="Normal"/>
    <w:next w:val="Normal"/>
    <w:link w:val="Heading2Char"/>
    <w:autoRedefine/>
    <w:uiPriority w:val="9"/>
    <w:unhideWhenUsed/>
    <w:qFormat/>
    <w:rsid w:val="003a1f30"/>
    <w:pPr>
      <w:keepNext w:val="true"/>
      <w:keepLines/>
      <w:spacing w:before="40" w:after="0"/>
      <w:jc w:val="center"/>
      <w:outlineLvl w:val="1"/>
    </w:pPr>
    <w:rPr>
      <w:rFonts w:ascii="Times New Roman" w:hAnsi="Times New Roman" w:eastAsia="" w:cs="Times New Roman" w:asciiTheme="majorBidi" w:cstheme="majorBidi" w:eastAsiaTheme="majorEastAsia" w:hAnsiTheme="majorBidi"/>
      <w:b/>
      <w:sz w:val="24"/>
      <w:szCs w:val="2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4269a5"/>
    <w:rPr>
      <w:color w:val="0563C1" w:themeColor="hyperlink"/>
      <w:u w:val="single"/>
    </w:rPr>
  </w:style>
  <w:style w:type="character" w:styleId="UnresolvedMention" w:customStyle="1">
    <w:name w:val="Unresolved Mention"/>
    <w:basedOn w:val="DefaultParagraphFont"/>
    <w:uiPriority w:val="99"/>
    <w:semiHidden/>
    <w:unhideWhenUsed/>
    <w:qFormat/>
    <w:rsid w:val="004269a5"/>
    <w:rPr>
      <w:color w:val="605E5C"/>
      <w:shd w:fill="E1DFDD" w:val="clear"/>
    </w:rPr>
  </w:style>
  <w:style w:type="character" w:styleId="TitleChar" w:customStyle="1">
    <w:name w:val="Title Char"/>
    <w:basedOn w:val="DefaultParagraphFont"/>
    <w:link w:val="Title"/>
    <w:uiPriority w:val="10"/>
    <w:qFormat/>
    <w:rsid w:val="003a1f30"/>
    <w:rPr>
      <w:rFonts w:ascii="Arial" w:hAnsi="Arial" w:eastAsia="" w:cs="Times New Roman" w:asciiTheme="minorBidi" w:cstheme="majorBidi" w:eastAsiaTheme="majorEastAsia" w:hAnsiTheme="minorBidi"/>
      <w:b/>
      <w:spacing w:val="-10"/>
      <w:kern w:val="2"/>
      <w:sz w:val="30"/>
      <w:szCs w:val="56"/>
    </w:rPr>
  </w:style>
  <w:style w:type="character" w:styleId="Heading1Char" w:customStyle="1">
    <w:name w:val="Heading 1 Char"/>
    <w:basedOn w:val="DefaultParagraphFont"/>
    <w:link w:val="Heading1"/>
    <w:uiPriority w:val="9"/>
    <w:qFormat/>
    <w:rsid w:val="00be5223"/>
    <w:rPr>
      <w:rFonts w:ascii="Arial" w:hAnsi="Arial" w:eastAsia="" w:cs="Times New Roman" w:cstheme="majorBidi" w:eastAsiaTheme="majorEastAsia"/>
      <w:b/>
      <w:sz w:val="32"/>
      <w:szCs w:val="32"/>
    </w:rPr>
  </w:style>
  <w:style w:type="character" w:styleId="Heading2Char" w:customStyle="1">
    <w:name w:val="Heading 2 Char"/>
    <w:basedOn w:val="DefaultParagraphFont"/>
    <w:link w:val="Heading2"/>
    <w:uiPriority w:val="9"/>
    <w:qFormat/>
    <w:rsid w:val="003a1f30"/>
    <w:rPr>
      <w:rFonts w:ascii="Times New Roman" w:hAnsi="Times New Roman" w:eastAsia="" w:cs="Times New Roman" w:asciiTheme="majorBidi" w:cstheme="majorBidi" w:eastAsiaTheme="majorEastAsia" w:hAnsiTheme="majorBidi"/>
      <w:b/>
      <w:sz w:val="24"/>
      <w:szCs w:val="26"/>
    </w:rPr>
  </w:style>
  <w:style w:type="character" w:styleId="Strong">
    <w:name w:val="Strong"/>
    <w:basedOn w:val="DefaultParagraphFont"/>
    <w:uiPriority w:val="22"/>
    <w:qFormat/>
    <w:rsid w:val="00be5223"/>
    <w:rPr>
      <w:rFonts w:ascii="Arial" w:hAnsi="Arial"/>
      <w:b/>
      <w:bCs/>
      <w:sz w:val="24"/>
    </w:rPr>
  </w:style>
  <w:style w:type="character" w:styleId="HighlightChar" w:customStyle="1">
    <w:name w:val="highlight Char"/>
    <w:basedOn w:val="DefaultParagraphFont"/>
    <w:link w:val="highlight"/>
    <w:qFormat/>
    <w:rsid w:val="00dd4e7a"/>
    <w:rPr>
      <w:rFonts w:ascii="Times New Roman" w:hAnsi="Times New Roman" w:eastAsia="Calibri" w:cs="Times New Roman"/>
      <w:sz w:val="24"/>
      <w:szCs w:val="24"/>
    </w:rPr>
  </w:style>
  <w:style w:type="character" w:styleId="ListLabel1">
    <w:name w:val="ListLabel 1"/>
    <w:qFormat/>
    <w:rPr>
      <w:rFonts w:ascii="Times New Roman" w:hAnsi="Times New Roman"/>
      <w:color w:val="231F20"/>
      <w:sz w:val="24"/>
    </w:rPr>
  </w:style>
  <w:style w:type="character" w:styleId="ListLabel2">
    <w:name w:val="ListLabel 2"/>
    <w:qFormat/>
    <w:rPr>
      <w:rFonts w:ascii="Times New Roman" w:hAnsi="Times New Roman" w:eastAsia="MV Boli" w:cs="Times New Roman"/>
      <w:sz w:val="24"/>
    </w:rPr>
  </w:style>
  <w:style w:type="character" w:styleId="ListLabel3">
    <w:name w:val="ListLabel 3"/>
    <w:qFormat/>
    <w:rPr>
      <w:rFonts w:ascii="Arial" w:hAnsi="Arial" w:eastAsia="Calibri" w:cs="Times New Roman"/>
      <w:b/>
      <w:sz w:val="39"/>
    </w:rPr>
  </w:style>
  <w:style w:type="character" w:styleId="ListLabel4">
    <w:name w:val="ListLabel 4"/>
    <w:qFormat/>
    <w:rPr>
      <w:rFonts w:ascii="Arial" w:hAnsi="Arial" w:cs="Arial"/>
      <w:b/>
      <w:bCs/>
      <w:sz w:val="32"/>
      <w:szCs w:val="32"/>
      <w:lang w:bidi="en-US"/>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autoRedefine/>
    <w:uiPriority w:val="10"/>
    <w:qFormat/>
    <w:rsid w:val="003a1f30"/>
    <w:pPr>
      <w:spacing w:lineRule="auto" w:line="240" w:before="0" w:after="0"/>
      <w:contextualSpacing/>
      <w:jc w:val="center"/>
    </w:pPr>
    <w:rPr>
      <w:rFonts w:ascii="Arial" w:hAnsi="Arial" w:eastAsia="" w:cs="Times New Roman" w:asciiTheme="minorBidi" w:cstheme="majorBidi" w:eastAsiaTheme="majorEastAsia" w:hAnsiTheme="minorBidi"/>
      <w:b/>
      <w:spacing w:val="-10"/>
      <w:kern w:val="2"/>
      <w:sz w:val="30"/>
      <w:szCs w:val="56"/>
    </w:rPr>
  </w:style>
  <w:style w:type="paragraph" w:styleId="Highlight" w:customStyle="1">
    <w:name w:val="highlight"/>
    <w:basedOn w:val="Normal"/>
    <w:link w:val="highlightChar"/>
    <w:qFormat/>
    <w:rsid w:val="00dd4e7a"/>
    <w:pPr>
      <w:spacing w:lineRule="auto" w:line="276"/>
    </w:pPr>
    <w:rPr>
      <w:rFonts w:ascii="Times New Roman" w:hAnsi="Times New Roman" w:eastAsia="Calibri"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EBINARCECLASSES.COM/" TargetMode="External"/><Relationship Id="rId4" Type="http://schemas.openxmlformats.org/officeDocument/2006/relationships/image" Target="media/image2.png"/><Relationship Id="rId5" Type="http://schemas.openxmlformats.org/officeDocument/2006/relationships/hyperlink" Target="http://www.webinarceclasse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Application>Trio_Office/6.2.8.2$Windows_x86 LibreOffice_project/</Application>
  <Pages>5</Pages>
  <Words>1270</Words>
  <Characters>7702</Characters>
  <CharactersWithSpaces>8916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2020-07-19T17:33:00Z</dcterms:created>
  <dc:creator>Franklin Carvajal</dc:creator>
  <dc:description/>
  <dc:language>en-US</dc:language>
  <cp:lastModifiedBy/>
  <dcterms:modified xsi:type="dcterms:W3CDTF">2026-05-15T14:06:44Z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