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6" w:after="160"/>
        <w:ind w:right="1222" w:hanging="0"/>
        <w:jc w:val="center"/>
        <w:rPr/>
      </w:pPr>
      <w:r>
        <w:rPr/>
        <w:drawing>
          <wp:inline distT="0" distB="0" distL="0" distR="0">
            <wp:extent cx="1882140" cy="14478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882140" cy="1447800"/>
                    </a:xfrm>
                    <a:prstGeom prst="rect">
                      <a:avLst/>
                    </a:prstGeom>
                  </pic:spPr>
                </pic:pic>
              </a:graphicData>
            </a:graphic>
          </wp:inline>
        </w:drawing>
      </w:r>
    </w:p>
    <w:p>
      <w:pPr>
        <w:pStyle w:val="Normal"/>
        <w:spacing w:before="206" w:after="160"/>
        <w:ind w:right="1222" w:hanging="0"/>
        <w:jc w:val="center"/>
        <w:rPr/>
      </w:pPr>
      <w:r>
        <w:rPr/>
      </w:r>
    </w:p>
    <w:p>
      <w:pPr>
        <w:pStyle w:val="Normal"/>
        <w:spacing w:before="206" w:after="160"/>
        <w:ind w:right="1222" w:hanging="0"/>
        <w:jc w:val="center"/>
        <w:rPr/>
      </w:pPr>
      <w:hyperlink r:id="rId3">
        <w:r>
          <w:rPr>
            <w:rStyle w:val="InternetLink"/>
            <w:rFonts w:eastAsia="Calibri" w:cs="Times New Roman" w:ascii="Arial" w:hAnsi="Arial"/>
            <w:b/>
            <w:sz w:val="39"/>
          </w:rPr>
          <w:t>WWW.WEBINARCECLASSES.COM</w:t>
        </w:r>
      </w:hyperlink>
      <w:r>
        <w:rPr>
          <w:rFonts w:eastAsia="Calibri" w:cs="Times New Roman" w:ascii="Arial" w:hAnsi="Arial"/>
          <w:b/>
          <w:color w:val="387AC7"/>
          <w:sz w:val="39"/>
        </w:rPr>
        <w:t xml:space="preserve"> PRESENTS:</w:t>
      </w:r>
    </w:p>
    <w:p>
      <w:pPr>
        <w:pStyle w:val="Normal"/>
        <w:widowControl w:val="false"/>
        <w:spacing w:lineRule="auto" w:line="240" w:before="10" w:after="0"/>
        <w:ind w:left="100" w:hanging="0"/>
        <w:rPr>
          <w:rFonts w:ascii="Arial" w:hAnsi="Arial" w:eastAsia="MV Boli" w:cs="MV Boli"/>
          <w:b/>
          <w:b/>
          <w:i/>
          <w:i/>
          <w:sz w:val="10"/>
          <w:szCs w:val="24"/>
        </w:rPr>
      </w:pPr>
      <w:r>
        <w:rPr>
          <w:rFonts w:eastAsia="MV Boli" w:cs="MV Boli" w:ascii="Arial" w:hAnsi="Arial"/>
          <w:b/>
          <w:i/>
          <w:sz w:val="10"/>
          <w:szCs w:val="24"/>
        </w:rPr>
        <mc:AlternateContent>
          <mc:Choice Requires="wpg">
            <w:drawing>
              <wp:anchor behindDoc="0" distT="0" distB="0" distL="0" distR="0" simplePos="0" locked="0" layoutInCell="1" allowOverlap="1" relativeHeight="3" wp14:anchorId="28932137">
                <wp:simplePos x="0" y="0"/>
                <wp:positionH relativeFrom="page">
                  <wp:posOffset>1200785</wp:posOffset>
                </wp:positionH>
                <wp:positionV relativeFrom="paragraph">
                  <wp:posOffset>104775</wp:posOffset>
                </wp:positionV>
                <wp:extent cx="5372735" cy="10160"/>
                <wp:effectExtent l="0" t="0" r="19050" b="9525"/>
                <wp:wrapTopAndBottom/>
                <wp:docPr id="2" name="Group 9"/>
                <a:graphic xmlns:a="http://schemas.openxmlformats.org/drawingml/2006/main">
                  <a:graphicData uri="http://schemas.microsoft.com/office/word/2010/wordprocessingGroup">
                    <wpg:wgp>
                      <wpg:cNvGrpSpPr/>
                      <wpg:grpSpPr>
                        <a:xfrm>
                          <a:off x="0" y="0"/>
                          <a:ext cx="5372280" cy="9360"/>
                        </a:xfrm>
                      </wpg:grpSpPr>
                      <wps:wsp>
                        <wps:cNvSpPr/>
                        <wps:spPr>
                          <a:xfrm>
                            <a:off x="0" y="0"/>
                            <a:ext cx="5068080" cy="0"/>
                          </a:xfrm>
                          <a:prstGeom prst="line">
                            <a:avLst/>
                          </a:prstGeom>
                          <a:ln w="9000">
                            <a:solidFill>
                              <a:srgbClr val="387ac7"/>
                            </a:solidFill>
                            <a:round/>
                          </a:ln>
                        </wps:spPr>
                        <wps:style>
                          <a:lnRef idx="0"/>
                          <a:fillRef idx="0"/>
                          <a:effectRef idx="0"/>
                          <a:fontRef idx="minor"/>
                        </wps:style>
                        <wps:bodyPr/>
                      </wps:wsp>
                      <wps:wsp>
                        <wps:cNvSpPr/>
                        <wps:spPr>
                          <a:xfrm>
                            <a:off x="0" y="0"/>
                            <a:ext cx="5068080" cy="0"/>
                          </a:xfrm>
                          <a:prstGeom prst="line">
                            <a:avLst/>
                          </a:prstGeom>
                          <a:ln w="9000">
                            <a:solidFill>
                              <a:srgbClr val="387ac7"/>
                            </a:solidFill>
                            <a:round/>
                          </a:ln>
                        </wps:spPr>
                        <wps:style>
                          <a:lnRef idx="0"/>
                          <a:fillRef idx="0"/>
                          <a:effectRef idx="0"/>
                          <a:fontRef idx="minor"/>
                        </wps:style>
                        <wps:bodyPr/>
                      </wps:wsp>
                      <pic:pic xmlns:pic="http://schemas.openxmlformats.org/drawingml/2006/picture">
                        <pic:nvPicPr>
                          <pic:cNvPr id="0" name="Picture 5" descr=""/>
                          <pic:cNvPicPr/>
                        </pic:nvPicPr>
                        <pic:blipFill>
                          <a:blip r:embed="rId4"/>
                          <a:stretch/>
                        </pic:blipFill>
                        <pic:spPr>
                          <a:xfrm>
                            <a:off x="5294160" y="7560"/>
                            <a:ext cx="78120" cy="1800"/>
                          </a:xfrm>
                          <a:prstGeom prst="rect">
                            <a:avLst/>
                          </a:prstGeom>
                          <a:ln>
                            <a:noFill/>
                          </a:ln>
                        </pic:spPr>
                      </pic:pic>
                    </wpg:wgp>
                  </a:graphicData>
                </a:graphic>
              </wp:anchor>
            </w:drawing>
          </mc:Choice>
          <mc:Fallback>
            <w:pict>
              <v:group id="shape_0" alt="Group 9" style="position:absolute;margin-left:94.55pt;margin-top:8.25pt;width:423pt;height:0.75pt" coordorigin="1891,165" coordsize="8460,15">
                <v:line id="shape_0" from="1891,165" to="9871,165" ID="Line 3" stroked="t" style="position:absolute;mso-position-horizontal-relative:page">
                  <v:stroke color="#387ac7" weight="9000" joinstyle="round" endcap="flat"/>
                  <v:fill o:detectmouseclick="t" on="false"/>
                </v:line>
                <v:line id="shape_0" from="1891,165" to="9871,165" ID="Line 4" stroked="t" style="position:absolute;mso-position-horizontal-relative:page">
                  <v:stroke color="#387ac7" weight="9000" joinstyle="round"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5" stroked="f" style="position:absolute;left:10229;top:177;width:122;height:2;mso-position-horizontal-relative:page" type="shapetype_75">
                  <v:imagedata r:id="rId4" o:detectmouseclick="t"/>
                  <w10:wrap type="none"/>
                  <v:stroke color="#3465a4" joinstyle="round" endcap="flat"/>
                </v:shape>
              </v:group>
            </w:pict>
          </mc:Fallback>
        </mc:AlternateContent>
      </w:r>
    </w:p>
    <w:p>
      <w:pPr>
        <w:pStyle w:val="Normal"/>
        <w:widowControl w:val="false"/>
        <w:spacing w:lineRule="auto" w:line="240" w:before="0" w:after="0"/>
        <w:ind w:left="100" w:hanging="0"/>
        <w:rPr>
          <w:rFonts w:ascii="Arial" w:hAnsi="Arial" w:eastAsia="MV Boli" w:cs="MV Boli"/>
          <w:b/>
          <w:b/>
          <w:i/>
          <w:i/>
          <w:sz w:val="20"/>
          <w:szCs w:val="24"/>
        </w:rPr>
      </w:pPr>
      <w:r>
        <w:rPr>
          <w:rFonts w:eastAsia="MV Boli" w:cs="MV Boli" w:ascii="Arial" w:hAnsi="Arial"/>
          <w:b/>
          <w:i/>
          <w:sz w:val="20"/>
          <w:szCs w:val="24"/>
        </w:rPr>
      </w:r>
    </w:p>
    <w:p>
      <w:pPr>
        <w:pStyle w:val="Normal"/>
        <w:widowControl w:val="false"/>
        <w:spacing w:lineRule="auto" w:line="240" w:before="9" w:after="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Title"/>
        <w:rPr>
          <w:rFonts w:eastAsia="Arial"/>
          <w:b w:val="false"/>
          <w:b w:val="false"/>
          <w:highlight w:val="yellow"/>
          <w:lang w:bidi="en-US"/>
        </w:rPr>
      </w:pPr>
      <w:r>
        <w:t>Do Compensation Processes Impair Mental Health? A Meta-Analysis</w:t>
      </w:r>
    </w:p>
    <w:p>
      <w:pPr>
        <w:pStyle w:val="Normal"/>
        <w:widowControl w:val="false"/>
        <w:spacing w:lineRule="auto" w:line="240" w:before="9" w:after="0"/>
        <w:ind w:left="100" w:hanging="0"/>
        <w:jc w:val="center"/>
        <w:rPr>
          <w:rFonts w:ascii="Arial" w:hAnsi="Arial" w:eastAsia="Arial" w:cs="Arial"/>
          <w:b/>
          <w:b/>
          <w:color w:val="2C2C2C"/>
          <w:sz w:val="30"/>
          <w:highlight w:val="yellow"/>
          <w:lang w:bidi="en-US"/>
        </w:rPr>
      </w:pPr>
      <w:r>
        <w:rPr>
          <w:rFonts w:eastAsia="Arial" w:cs="Arial" w:ascii="Arial" w:hAnsi="Arial"/>
          <w:b/>
          <w:color w:val="2C2C2C"/>
          <w:sz w:val="30"/>
          <w:highlight w:val="yellow"/>
          <w:lang w:bidi="en-US"/>
        </w:rPr>
      </w:r>
    </w:p>
    <w:p>
      <w:pPr>
        <w:pStyle w:val="Heading1"/>
        <w:rPr>
          <w:rFonts w:eastAsia="Arial"/>
          <w:highlight w:val="yellow"/>
          <w:lang w:bidi="en-US"/>
        </w:rPr>
      </w:pPr>
      <w:r>
        <w:t>AUTHOR: Carvajal Icus</w:t>
      </w:r>
    </w:p>
    <w:p>
      <w:pPr>
        <w:pStyle w:val="Normal"/>
        <w:rPr>
          <w:highlight w:val="yellow"/>
          <w:lang w:bidi="en-US"/>
        </w:rPr>
      </w:pPr>
      <w:r>
        <w:rPr>
          <w:highlight w:val="yellow"/>
          <w:lang w:bidi="en-US"/>
        </w:rPr>
      </w:r>
    </w:p>
    <w:p>
      <w:pPr>
        <w:pStyle w:val="Normal"/>
        <w:jc w:val="center"/>
        <w:rPr>
          <w:rFonts w:ascii="Arial" w:hAnsi="Arial" w:cs="Arial"/>
          <w:b/>
          <w:b/>
          <w:bCs/>
          <w:sz w:val="32"/>
          <w:szCs w:val="32"/>
          <w:lang w:bidi="en-US"/>
        </w:rPr>
      </w:pPr>
      <w:r>
        <w:rPr>
          <w:rFonts w:cs="Arial" w:ascii="Arial" w:hAnsi="Arial"/>
          <w:b/>
          <w:bCs/>
          <w:sz w:val="32"/>
          <w:szCs w:val="32"/>
          <w:lang w:bidi="en-US"/>
        </w:rPr>
        <w:t xml:space="preserve">1 </w:t>
      </w:r>
      <w:r>
        <w:rPr>
          <w:rFonts w:cs="Arial" w:ascii="Arial" w:hAnsi="Arial"/>
          <w:b/>
          <w:bCs/>
          <w:sz w:val="32"/>
          <w:szCs w:val="32"/>
          <w:lang w:bidi="en-US"/>
        </w:rPr>
        <w:t xml:space="preserve"> CE Credits</w:t>
      </w:r>
    </w:p>
    <w:p>
      <w:pPr>
        <w:pStyle w:val="Normal"/>
        <w:jc w:val="center"/>
        <w:rPr>
          <w:rFonts w:ascii="Arial" w:hAnsi="Arial" w:cs="Arial"/>
          <w:b/>
          <w:b/>
          <w:bCs/>
          <w:sz w:val="32"/>
          <w:szCs w:val="32"/>
          <w:lang w:bidi="en-US"/>
        </w:rPr>
      </w:pPr>
      <w:r>
        <w:rPr>
          <w:rFonts w:cs="Arial" w:ascii="Arial" w:hAnsi="Arial"/>
          <w:b/>
          <w:bCs/>
          <w:sz w:val="32"/>
          <w:szCs w:val="32"/>
          <w:lang w:bidi="en-US"/>
        </w:rPr>
        <w:t>HOMESTUDY</w:t>
      </w:r>
    </w:p>
    <w:p>
      <w:pPr>
        <w:pStyle w:val="Normal"/>
        <w:jc w:val="center"/>
        <w:rPr/>
      </w:pPr>
      <w:r>
        <w:rPr>
          <w:rFonts w:cs="Arial" w:ascii="Arial" w:hAnsi="Arial"/>
          <w:b/>
          <w:bCs/>
          <w:sz w:val="32"/>
          <w:szCs w:val="32"/>
          <w:lang w:bidi="en-US"/>
        </w:rPr>
        <w:t xml:space="preserve">Held online at </w:t>
      </w:r>
      <w:hyperlink r:id="rId5">
        <w:r>
          <w:rPr>
            <w:rStyle w:val="ListLabel4"/>
            <w:rFonts w:cs="Arial" w:ascii="Arial" w:hAnsi="Arial"/>
            <w:b/>
            <w:bCs/>
            <w:sz w:val="32"/>
            <w:szCs w:val="32"/>
            <w:lang w:bidi="en-US"/>
          </w:rPr>
          <w:t>www.webinarceclasses.com</w:t>
        </w:r>
      </w:hyperlink>
    </w:p>
    <w:p>
      <w:pPr>
        <w:pStyle w:val="Normal"/>
        <w:widowControl w:val="false"/>
        <w:spacing w:lineRule="exact" w:line="256" w:before="257" w:after="0"/>
        <w:jc w:val="center"/>
        <w:rPr>
          <w:rStyle w:val="Strong"/>
        </w:rPr>
      </w:pPr>
      <w:r>
        <w:rPr>
          <w:rStyle w:val="Strong"/>
        </w:rPr>
        <w:t>Online registration</w:t>
      </w:r>
    </w:p>
    <w:p>
      <w:pPr>
        <w:pStyle w:val="Normal"/>
        <w:jc w:val="center"/>
        <w:rPr>
          <w:rStyle w:val="Strong"/>
          <w:highlight w:val="yellow"/>
        </w:rPr>
      </w:pPr>
      <w:r>
        <w:rPr>
          <w:rStyle w:val="Strong"/>
        </w:rPr>
        <w:t xml:space="preserve">Cost: </w:t>
      </w:r>
      <w:r>
        <w:rPr>
          <w:rStyle w:val="Strong"/>
        </w:rPr>
        <w:t xml:space="preserve">$1 </w:t>
      </w:r>
      <w:r>
        <w:rPr>
          <w:rStyle w:val="Strong"/>
        </w:rPr>
        <w:t>DOLLARS</w:t>
      </w:r>
    </w:p>
    <w:p>
      <w:pPr>
        <w:pStyle w:val="Normal"/>
        <w:rPr>
          <w:highlight w:val="yellow"/>
          <w:lang w:bidi="en-US"/>
        </w:rPr>
      </w:pPr>
      <w:r>
        <w:rPr>
          <w:highlight w:val="yellow"/>
          <w:lang w:bidi="en-US"/>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Highlight"/>
        <w:rPr/>
      </w:pPr>
      <w:r>
        <w:t>Audience: Psychologists, Legal Professionals, Occupational Health Specialists, Researchers and Trauma Counselors.</w:t>
      </w:r>
    </w:p>
    <w:p>
      <w:pPr>
        <w:pStyle w:val="Highlight"/>
        <w:rPr/>
      </w:pPr>
      <w:r>
        <w:t>Instructional Level: advanced</w:t>
      </w:r>
    </w:p>
    <w:p>
      <w:pPr>
        <w:pStyle w:val="Normal"/>
        <w:widowControl w:val="false"/>
        <w:numPr>
          <w:ilvl w:val="0"/>
          <w:numId w:val="0"/>
        </w:numPr>
        <w:spacing w:lineRule="auto" w:line="276" w:before="1" w:after="0"/>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r>
    </w:p>
    <w:p>
      <w:pPr>
        <w:pStyle w:val="Heading2"/>
        <w:rPr>
          <w:rFonts w:eastAsia="Times New Roman"/>
          <w:b w:val="false"/>
          <w:b w:val="false"/>
          <w:highlight w:val="yellow"/>
          <w:lang w:bidi="en-US"/>
        </w:rPr>
      </w:pPr>
      <w:r>
        <w:rPr>
          <w:rFonts w:eastAsia="Times New Roman"/>
          <w:lang w:bidi="en-US"/>
        </w:rPr>
        <w:t>Course Goals and Educational Objectives:</w:t>
      </w:r>
    </w:p>
    <w:p>
      <w:pPr>
        <w:pStyle w:val="Normal"/>
        <w:widowControl w:val="false"/>
        <w:spacing w:lineRule="auto" w:line="276" w:before="10" w:after="0"/>
        <w:ind w:left="100" w:hanging="0"/>
        <w:rPr>
          <w:rFonts w:ascii="Times New Roman" w:hAnsi="Times New Roman" w:eastAsia="MV Boli" w:cs="Times New Roman"/>
          <w:b/>
          <w:b/>
          <w:i/>
          <w:i/>
          <w:sz w:val="24"/>
          <w:szCs w:val="24"/>
        </w:rPr>
      </w:pPr>
      <w:r>
        <w:rPr>
          <w:rFonts w:eastAsia="MV Boli" w:cs="Times New Roman" w:ascii="Times New Roman" w:hAnsi="Times New Roman"/>
          <w:b/>
          <w:i/>
          <w:sz w:val="24"/>
          <w:szCs w:val="24"/>
        </w:rPr>
      </w:r>
    </w:p>
    <w:p>
      <w:pPr>
        <w:pStyle w:val="Normal"/>
        <w:spacing w:lineRule="auto" w:line="276"/>
        <w:rPr>
          <w:rFonts w:ascii="Times New Roman" w:hAnsi="Times New Roman" w:eastAsia="Calibri" w:cs="Times New Roman"/>
          <w:b/>
          <w:b/>
          <w:sz w:val="24"/>
          <w:szCs w:val="24"/>
          <w:highlight w:val="yellow"/>
        </w:rPr>
      </w:pPr>
      <w:r>
        <w:rPr>
          <w:rFonts w:eastAsia="Calibri" w:cs="Times New Roman" w:ascii="Times New Roman" w:hAnsi="Times New Roman"/>
          <w:b/>
          <w:sz w:val="24"/>
          <w:szCs w:val="24"/>
        </w:rPr>
        <w:t>The attendees will be able to:</w:t>
      </w:r>
    </w:p>
    <w:p>
      <w:pPr>
        <w:pStyle w:val="Highlight"/>
        <w:rPr>
          <w:b/>
          <w:b/>
          <w:bCs/>
          <w:highlight w:val="yellow"/>
        </w:rPr>
      </w:pPr>
      <w:r>
        <w:t>1. Describe 3 key factors that contribute to mental health impairment during compensation processes.</w:t>
        <w:br/>
        <w:t>2. Identify 2 main mental health outcomes affected by involvement in compensation claims such as depression and PTSD.</w:t>
        <w:br/>
        <w:t>3. Analyze 2 explanations for mental health differences between compensation and non-compensation groups, including secondary gain and secondary victimization.</w:t>
        <w:br/>
        <w:t>4. Evaluate the methodological quality limitations of studies examining compensation effects on mental health.</w:t>
      </w:r>
    </w:p>
    <w:p>
      <w:pPr>
        <w:pStyle w:val="Highlight"/>
        <w:rPr>
          <w:highlight w:val="yellow"/>
        </w:rPr>
      </w:pPr>
      <w:r>
        <w:t>Course Description: This course examines the association between involvement in compensation processes and mental health outcomes through a comprehensive meta-analysis of prospective cohort studies. It explores how compensation claims may slightly impair mental health, focusing on symptoms such as depression, anxiety, and PTSD. The course discusses baseline mental health differences, changes over time, and the potential impact of secondary gain and stressful claims processes. Limitations of existing research, implications for legal and health professionals, and directions for future research on compensation system designs are also presented.</w:t>
      </w:r>
    </w:p>
    <w:p>
      <w:pPr>
        <w:pStyle w:val="Normal"/>
        <w:widowControl w:val="false"/>
        <w:numPr>
          <w:ilvl w:val="0"/>
          <w:numId w:val="0"/>
        </w:numPr>
        <w:spacing w:lineRule="auto" w:line="276" w:before="165" w:after="0"/>
        <w:jc w:val="center"/>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t>Conflicts of Interest Policy</w:t>
      </w:r>
    </w:p>
    <w:p>
      <w:r>
        <w:t xml:space="preserve">As an APA-approved sponsor of continuing education, WebinarCeclasses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r>
        <w:rPr>
          <w:b/>
        </w:rPr>
        <w:t xml:space="preserve">Potential Conflicts of Interest in the Planning of Continuing Education</w:t>
      </w:r>
    </w:p>
    <w:p>
      <w:r>
        <w:t xml:space="preserve">Dr. Carvajal is responsible to identify, declare, and resolve any potential conflict of interest WebinarCEclasses may have in offering any specific program of continuing education. In the event of a potential conflict of interest, Dr. Carvajal will assume responsibility to resolve the potential conflict by:</w:t>
      </w:r>
    </w:p>
    <w:p>
      <w:r>
        <w:t xml:space="preserve">• Informing persons involved of the existence of the conflict</w:t>
      </w:r>
    </w:p>
    <w:p>
      <w:r>
        <w:t xml:space="preserve">• Allowing persons involved to examine and rectify the conflict</w:t>
      </w:r>
    </w:p>
    <w:p>
      <w:r>
        <w:t xml:space="preserve">• Reviewing whether the conflict was indeed resolved</w:t>
      </w:r>
    </w:p>
    <w:p>
      <w:r>
        <w:t xml:space="preserve">• Requesting updates and reviews until the conflict is fully resolved</w:t>
      </w:r>
    </w:p>
    <w:p>
      <w:r>
        <w:t xml:space="preserve">WebinarCEclasses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Carvajal will ensure that the individual recuses him or herself from the planning process.</w:t>
      </w:r>
    </w:p>
    <w:p>
      <w:r>
        <w:rPr>
          <w:b/>
        </w:rPr>
        <w:t xml:space="preserve">Potential Conflicts of Interest in the Promotion of Continuing Education</w:t>
      </w:r>
    </w:p>
    <w:p>
      <w:r>
        <w:t xml:space="preserve">When preparing promotional material for continuing education, WebinarCEclasses includes information concerning any financial support, including in-kind support, provided by another party. WebinarCEclasses also informs potential participants of any potential conflicts of interest an instructor. If there is no financial support or any potential conflict of interest or commercial support, WebinarCEclasses will ensure that is clearly stated in the promotional material. If information about financial support or any potential conflict of interest is not included in the promotional material prepared for continuing education, WebinarCEclasses will clearly indicate how a potential participant can secure that information.</w:t>
      </w:r>
    </w:p>
    <w:p>
      <w:r>
        <w:rPr>
          <w:b/>
        </w:rPr>
        <w:t xml:space="preserve">Potential Conflicts of Interest in the Delivery of Continuing Education</w:t>
      </w:r>
    </w:p>
    <w:p>
      <w:r>
        <w:t xml:space="preserve">WebinarCEclasses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WebinarCEclasses will ensure there is a process (e.g., a designated individual or a slide at the start of the presentation, documentation in materials) to clearly state any potential conflicts at the time the continuing education program begins.</w:t>
      </w:r>
    </w:p>
    <w:p>
      <w:r>
        <w:t xml:space="preserve">The author receives an honorarium payment from webinarceclasses</w:t>
      </w:r>
    </w:p>
    <w:p>
      <w:r>
        <w:rPr>
          <w:b/>
        </w:rPr>
        <w:t xml:space="preserve">"WebinarCEclasses is approved by the American Psychological Association to sponsor continuing education for psychologists. WebinarCEclasses maintains responsibility for this program and its content."</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 xml:space="preserve">WEBINARCECLASSES</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GRIEVANCE PROCEDURE</w:t>
      </w:r>
    </w:p>
    <w:p>
      <w:r>
        <w:t xml:space="preserve">Webinarceclasses is fully committed to conducting all activities in strict conformance with the American Psychological Association’s Ethical Principles of Psychologists and the standards of the Association of Social Work Boards. Webinarceclasses will comply with all legal and ethical responsibilities to be non-discriminatory in promotional activities, program content, and in the treatment of program participants. The monitoring and assessment of compliance with these standards will be the responsibility of Dr. Carvajal, Ph.D.</w:t>
      </w:r>
    </w:p>
    <w:p>
      <w:r>
        <w:t xml:space="preserve">While Webinarceclasses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r>
        <w:t xml:space="preserve">Seminar participants will be asked to provide written feedback about the seminar at the end of the presentation. Space will be included to express any grievance they might have with the program. When a participant, either orally or in written format, files a grievance or expects action on the complaint, the following actions will be taken:</w:t>
      </w:r>
    </w:p>
    <w:p>
      <w:r>
        <w:t xml:space="preserve">1. If the grievance concerns a speaker, the content presented by the speaker, or the style of presentation, the individual filing the grievance will be asked to put his/her comments in written format. Dr. Carvajal will then pass on the comments to the speaker, assuring the confidentiality of the grieved individual.</w:t>
      </w:r>
    </w:p>
    <w:p>
      <w:r>
        <w:t xml:space="preserve">2. If the grievance concerns a workshop offering, its content, level of presentation, or the facilities in which the workshop was offered, Dr. Carvajal will mediate and will be the final arbitrator. If the participant requests action, the CEO will:</w:t>
      </w:r>
    </w:p>
    <w:p>
      <w:r>
        <w:t xml:space="preserve">• attempt to move the participant to another workshop or</w:t>
      </w:r>
    </w:p>
    <w:p>
      <w:r>
        <w:t xml:space="preserve">• provide a credit for a subsequent year’s workshop or</w:t>
      </w:r>
    </w:p>
    <w:p>
      <w:r>
        <w:t xml:space="preserve">• provide a partial or full refund of the workshop fee</w:t>
      </w:r>
    </w:p>
    <w:p>
      <w:r>
        <w:t xml:space="preserve">Actions 2b and 2c will require a written note, documenting the grievance, for record keeping purposes. The note need not be signed by the grieved individual.</w:t>
      </w:r>
    </w:p>
    <w:p>
      <w:r>
        <w:t xml:space="preserve">3. If the grievance concerns Webinarceclasses CE program, in a specific regard, Dr. Carvajal will attempt to arbitrate.</w:t>
      </w:r>
    </w:p>
    <w:p>
      <w:r>
        <w:t xml:space="preserve">Please go to Webinarceclasses.com to submit a complaint, or if you have additional questions.</w:t>
      </w:r>
    </w:p>
    <w:p>
      <w:r>
        <w:t xml:space="preserve">Additionally, you can send your complaints to:</w:t>
      </w:r>
    </w:p>
    <w:p>
      <w:r>
        <w:t xml:space="preserve">Franklin Carvajal</w:t>
      </w:r>
    </w:p>
    <w:p>
      <w:r>
        <w:t xml:space="preserve">3456 Wesley Street</w:t>
      </w:r>
    </w:p>
    <w:p>
      <w:r>
        <w:t xml:space="preserve">Culver City, CA 90232</w:t>
      </w:r>
    </w:p>
    <w:sectPr>
      <w:type w:val="nextPage"/>
      <w:pgSz w:w="12240" w:h="15840"/>
      <w:pgMar w:left="1440" w:right="1440" w:header="0" w:top="117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lvl w:ilvl="0">
      <w:start w:val="1"/>
      <w:numFmt w:val="decimal"/>
      <w:lvlText w:val="%1."/>
      <w:lvlJc w:val="left"/>
      <w:pPr>
        <w:ind w:left="460" w:hanging="360"/>
      </w:pPr>
      <w:rPr>
        <w:sz w:val="24"/>
        <w:rFonts w:ascii="Times New Roman" w:hAnsi="Times New Roman"/>
        <w:color w:val="231F20"/>
      </w:rPr>
    </w:lvl>
    <w:lvl w:ilvl="1">
      <w:start w:val="1"/>
      <w:numFmt w:val="lowerLetter"/>
      <w:lvlText w:val="%2."/>
      <w:lvlJc w:val="left"/>
      <w:pPr>
        <w:ind w:left="1180" w:hanging="360"/>
      </w:pPr>
      <w:rPr>
        <w:sz w:val="24"/>
        <w:rFonts w:ascii="Times New Roman" w:hAnsi="Times New Roman" w:eastAsia="MV Boli" w:cs="Times New Roman"/>
      </w:r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1f30"/>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be5223"/>
    <w:pPr>
      <w:keepNext w:val="true"/>
      <w:keepLines/>
      <w:spacing w:before="240" w:after="0"/>
      <w:jc w:val="center"/>
      <w:outlineLvl w:val="0"/>
    </w:pPr>
    <w:rPr>
      <w:rFonts w:ascii="Arial" w:hAnsi="Arial" w:eastAsia="" w:cs="Times New Roman" w:cstheme="majorBidi" w:eastAsiaTheme="majorEastAsia"/>
      <w:b/>
      <w:sz w:val="32"/>
      <w:szCs w:val="32"/>
    </w:rPr>
  </w:style>
  <w:style w:type="paragraph" w:styleId="Heading2">
    <w:name w:val="Heading 2"/>
    <w:basedOn w:val="Normal"/>
    <w:next w:val="Normal"/>
    <w:link w:val="Heading2Char"/>
    <w:autoRedefine/>
    <w:uiPriority w:val="9"/>
    <w:unhideWhenUsed/>
    <w:qFormat/>
    <w:rsid w:val="003a1f30"/>
    <w:pPr>
      <w:keepNext w:val="true"/>
      <w:keepLines/>
      <w:spacing w:before="40" w:after="0"/>
      <w:jc w:val="center"/>
      <w:outlineLvl w:val="1"/>
    </w:pPr>
    <w:rPr>
      <w:rFonts w:ascii="Times New Roman" w:hAnsi="Times New Roman" w:eastAsia="" w:cs="Times New Roman" w:asciiTheme="majorBidi" w:cstheme="majorBidi" w:eastAsiaTheme="majorEastAsia" w:hAnsiTheme="majorBidi"/>
      <w:b/>
      <w:sz w:val="24"/>
      <w:szCs w:val="2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4269a5"/>
    <w:rPr>
      <w:color w:val="0563C1" w:themeColor="hyperlink"/>
      <w:u w:val="single"/>
    </w:rPr>
  </w:style>
  <w:style w:type="character" w:styleId="UnresolvedMention" w:customStyle="1">
    <w:name w:val="Unresolved Mention"/>
    <w:basedOn w:val="DefaultParagraphFont"/>
    <w:uiPriority w:val="99"/>
    <w:semiHidden/>
    <w:unhideWhenUsed/>
    <w:qFormat/>
    <w:rsid w:val="004269a5"/>
    <w:rPr>
      <w:color w:val="605E5C"/>
      <w:shd w:fill="E1DFDD" w:val="clear"/>
    </w:rPr>
  </w:style>
  <w:style w:type="character" w:styleId="TitleChar" w:customStyle="1">
    <w:name w:val="Title Char"/>
    <w:basedOn w:val="DefaultParagraphFont"/>
    <w:link w:val="Title"/>
    <w:uiPriority w:val="10"/>
    <w:qFormat/>
    <w:rsid w:val="003a1f30"/>
    <w:rPr>
      <w:rFonts w:ascii="Arial" w:hAnsi="Arial" w:eastAsia="" w:cs="Times New Roman" w:asciiTheme="minorBidi" w:cstheme="majorBidi" w:eastAsiaTheme="majorEastAsia" w:hAnsiTheme="minorBidi"/>
      <w:b/>
      <w:spacing w:val="-10"/>
      <w:kern w:val="2"/>
      <w:sz w:val="30"/>
      <w:szCs w:val="56"/>
    </w:rPr>
  </w:style>
  <w:style w:type="character" w:styleId="Heading1Char" w:customStyle="1">
    <w:name w:val="Heading 1 Char"/>
    <w:basedOn w:val="DefaultParagraphFont"/>
    <w:link w:val="Heading1"/>
    <w:uiPriority w:val="9"/>
    <w:qFormat/>
    <w:rsid w:val="00be5223"/>
    <w:rPr>
      <w:rFonts w:ascii="Arial" w:hAnsi="Arial" w:eastAsia="" w:cs="Times New Roman" w:cstheme="majorBidi" w:eastAsiaTheme="majorEastAsia"/>
      <w:b/>
      <w:sz w:val="32"/>
      <w:szCs w:val="32"/>
    </w:rPr>
  </w:style>
  <w:style w:type="character" w:styleId="Heading2Char" w:customStyle="1">
    <w:name w:val="Heading 2 Char"/>
    <w:basedOn w:val="DefaultParagraphFont"/>
    <w:link w:val="Heading2"/>
    <w:uiPriority w:val="9"/>
    <w:qFormat/>
    <w:rsid w:val="003a1f30"/>
    <w:rPr>
      <w:rFonts w:ascii="Times New Roman" w:hAnsi="Times New Roman" w:eastAsia="" w:cs="Times New Roman" w:asciiTheme="majorBidi" w:cstheme="majorBidi" w:eastAsiaTheme="majorEastAsia" w:hAnsiTheme="majorBidi"/>
      <w:b/>
      <w:sz w:val="24"/>
      <w:szCs w:val="26"/>
    </w:rPr>
  </w:style>
  <w:style w:type="character" w:styleId="Strong">
    <w:name w:val="Strong"/>
    <w:basedOn w:val="DefaultParagraphFont"/>
    <w:uiPriority w:val="22"/>
    <w:qFormat/>
    <w:rsid w:val="00be5223"/>
    <w:rPr>
      <w:rFonts w:ascii="Arial" w:hAnsi="Arial"/>
      <w:b/>
      <w:bCs/>
      <w:sz w:val="24"/>
    </w:rPr>
  </w:style>
  <w:style w:type="character" w:styleId="HighlightChar" w:customStyle="1">
    <w:name w:val="highlight Char"/>
    <w:basedOn w:val="DefaultParagraphFont"/>
    <w:link w:val="highlight"/>
    <w:qFormat/>
    <w:rsid w:val="00dd4e7a"/>
    <w:rPr>
      <w:rFonts w:ascii="Times New Roman" w:hAnsi="Times New Roman" w:eastAsia="Calibri" w:cs="Times New Roman"/>
      <w:sz w:val="24"/>
      <w:szCs w:val="24"/>
    </w:rPr>
  </w:style>
  <w:style w:type="character" w:styleId="ListLabel1">
    <w:name w:val="ListLabel 1"/>
    <w:qFormat/>
    <w:rPr>
      <w:rFonts w:ascii="Times New Roman" w:hAnsi="Times New Roman"/>
      <w:color w:val="231F20"/>
      <w:sz w:val="24"/>
    </w:rPr>
  </w:style>
  <w:style w:type="character" w:styleId="ListLabel2">
    <w:name w:val="ListLabel 2"/>
    <w:qFormat/>
    <w:rPr>
      <w:rFonts w:ascii="Times New Roman" w:hAnsi="Times New Roman" w:eastAsia="MV Boli" w:cs="Times New Roman"/>
      <w:sz w:val="24"/>
    </w:rPr>
  </w:style>
  <w:style w:type="character" w:styleId="ListLabel3">
    <w:name w:val="ListLabel 3"/>
    <w:qFormat/>
    <w:rPr>
      <w:rFonts w:ascii="Arial" w:hAnsi="Arial" w:eastAsia="Calibri" w:cs="Times New Roman"/>
      <w:b/>
      <w:sz w:val="39"/>
    </w:rPr>
  </w:style>
  <w:style w:type="character" w:styleId="ListLabel4">
    <w:name w:val="ListLabel 4"/>
    <w:qFormat/>
    <w:rPr>
      <w:rFonts w:ascii="Arial" w:hAnsi="Arial" w:cs="Arial"/>
      <w:b/>
      <w:bCs/>
      <w:sz w:val="32"/>
      <w:szCs w:val="32"/>
      <w:lang w:bidi="en-US"/>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autoRedefine/>
    <w:uiPriority w:val="10"/>
    <w:qFormat/>
    <w:rsid w:val="003a1f30"/>
    <w:pPr>
      <w:spacing w:lineRule="auto" w:line="240" w:before="0" w:after="0"/>
      <w:contextualSpacing/>
      <w:jc w:val="center"/>
    </w:pPr>
    <w:rPr>
      <w:rFonts w:ascii="Arial" w:hAnsi="Arial" w:eastAsia="" w:cs="Times New Roman" w:asciiTheme="minorBidi" w:cstheme="majorBidi" w:eastAsiaTheme="majorEastAsia" w:hAnsiTheme="minorBidi"/>
      <w:b/>
      <w:spacing w:val="-10"/>
      <w:kern w:val="2"/>
      <w:sz w:val="30"/>
      <w:szCs w:val="56"/>
    </w:rPr>
  </w:style>
  <w:style w:type="paragraph" w:styleId="Highlight" w:customStyle="1">
    <w:name w:val="highlight"/>
    <w:basedOn w:val="Normal"/>
    <w:link w:val="highlightChar"/>
    <w:qFormat/>
    <w:rsid w:val="00dd4e7a"/>
    <w:pPr>
      <w:spacing w:lineRule="auto" w:line="276"/>
    </w:pPr>
    <w:rPr>
      <w:rFonts w:ascii="Times New Roman" w:hAnsi="Times New Roman" w:eastAsia="Calibri"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EBINARCECLASSES.COM/" TargetMode="External"/><Relationship Id="rId4" Type="http://schemas.openxmlformats.org/officeDocument/2006/relationships/image" Target="media/image2.png"/><Relationship Id="rId5" Type="http://schemas.openxmlformats.org/officeDocument/2006/relationships/hyperlink" Target="http://www.webinarceclasses.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Trio_Office/6.2.8.2$Windows_x86 LibreOffice_project/</Application>
  <Pages>5</Pages>
  <Words>1270</Words>
  <Characters>7702</Characters>
  <CharactersWithSpaces>8916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2020-07-19T17:33:00Z</dcterms:created>
  <dc:creator>Franklin Carvajal</dc:creator>
  <dc:description/>
  <dc:language>en-US</dc:language>
  <cp:lastModifiedBy/>
  <dcterms:modified xsi:type="dcterms:W3CDTF">2026-05-15T14:06:44Z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