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The Role of Psychology in Mental Health</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Tayyab Ch Author</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2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$2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Licensed Psychologists, Counseling Professionals, Graduate-Level Clinicians, Clinical Psychologists, Health Psychologists, Counseling Psychologists, Psychoanalysts, Psychodynamic Psychotherapists, Psychiatrists and Cognitive-Behavioral Therapists.</w:t>
      </w:r>
    </w:p>
    <w:p w14:paraId="151FCF3B" w14:textId="5FAE755A" w:rsidR="00B9479F" w:rsidRPr="00B1558C" w:rsidRDefault="00B9479F" w:rsidP="00B1558C">
      <w:pPr>
        <w:pStyle w:val="highlight"/>
      </w:pPr>
      <w:r>
        <w:t>Instructional Level: advanced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4 historical models informing contemporary mental health practice</w:t>
        <w:br/>
        <w:t>2. Identify 3 psychological pathways linking mental and physical health outcomes</w:t>
        <w:br/>
        <w:t>3. Explain 3 roles of psychologists across the severity spectrum of mental health conditions</w:t>
        <w:br/>
        <w:t>4. Summarize 3 strategies psychologists can recommend to promote emotional well-being</w:t>
        <w:br/>
        <w:t>5. Discuss 3 system-level contributions of psychology to integrated primary care and public health</w:t>
      </w:r>
    </w:p>
    <w:p w14:paraId="005DC33C" w14:textId="332D9A11" w:rsidR="00B9479F" w:rsidRPr="00DD4E7A" w:rsidRDefault="00697360" w:rsidP="00DD4E7A">
      <w:pPr>
        <w:pStyle w:val="highlight"/>
        <w:rPr>
          <w:highlight w:val="yellow"/>
        </w:rPr>
      </w:pPr>
      <w:r>
        <w:t>Course Description: This course provides a scholarly synthesis of psychology's role in mental health, covering historical, theoretical, empirical, and applied dimensions. It explores conceptual models influencing clinical practice, mechanisms by which psychological factors affect health outcomes, the integration of psychology in primary care, the differentiated roles of mental health professionals, and practical strategies to foster emotional and mental well-being. The course emphasizes evidence-based practice, system-level contributions, and future directions in mental health research and care.</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