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206" w:after="160"/>
        <w:ind w:right="1222" w:hanging="0"/>
        <w:jc w:val="center"/>
        <w:rPr/>
      </w:pPr>
      <w:r>
        <w:rPr/>
        <w:drawing>
          <wp:inline distT="0" distB="0" distL="0" distR="0">
            <wp:extent cx="1882140" cy="1447800"/>
            <wp:effectExtent l="0" t="0" r="0" b="0"/>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2"/>
                    <a:stretch>
                      <a:fillRect/>
                    </a:stretch>
                  </pic:blipFill>
                  <pic:spPr bwMode="auto">
                    <a:xfrm>
                      <a:off x="0" y="0"/>
                      <a:ext cx="1882140" cy="1447800"/>
                    </a:xfrm>
                    <a:prstGeom prst="rect">
                      <a:avLst/>
                    </a:prstGeom>
                  </pic:spPr>
                </pic:pic>
              </a:graphicData>
            </a:graphic>
          </wp:inline>
        </w:drawing>
      </w:r>
    </w:p>
    <w:p>
      <w:pPr>
        <w:pStyle w:val="Normal"/>
        <w:spacing w:before="206" w:after="160"/>
        <w:ind w:right="1222" w:hanging="0"/>
        <w:jc w:val="center"/>
        <w:rPr/>
      </w:pPr>
      <w:r>
        <w:rPr/>
      </w:r>
    </w:p>
    <w:p>
      <w:pPr>
        <w:pStyle w:val="Normal"/>
        <w:spacing w:before="206" w:after="160"/>
        <w:ind w:right="1222" w:hanging="0"/>
        <w:jc w:val="center"/>
        <w:rPr/>
      </w:pPr>
      <w:hyperlink r:id="rId3">
        <w:r>
          <w:rPr>
            <w:rStyle w:val="InternetLink"/>
            <w:rFonts w:eastAsia="Calibri" w:cs="Times New Roman" w:ascii="Arial" w:hAnsi="Arial"/>
            <w:b/>
            <w:sz w:val="39"/>
          </w:rPr>
          <w:t>WWW.WEBINARCECLASSES.COM</w:t>
        </w:r>
      </w:hyperlink>
      <w:r>
        <w:rPr>
          <w:rFonts w:eastAsia="Calibri" w:cs="Times New Roman" w:ascii="Arial" w:hAnsi="Arial"/>
          <w:b/>
          <w:color w:val="387AC7"/>
          <w:sz w:val="39"/>
        </w:rPr>
        <w:t xml:space="preserve"> PRESENTS:</w:t>
      </w:r>
    </w:p>
    <w:p>
      <w:pPr>
        <w:pStyle w:val="Normal"/>
        <w:widowControl w:val="false"/>
        <w:spacing w:lineRule="auto" w:line="240" w:before="10" w:after="0"/>
        <w:ind w:left="100" w:hanging="0"/>
        <w:rPr>
          <w:rFonts w:ascii="Arial" w:hAnsi="Arial" w:eastAsia="MV Boli" w:cs="MV Boli"/>
          <w:b/>
          <w:b/>
          <w:i/>
          <w:i/>
          <w:sz w:val="10"/>
          <w:szCs w:val="24"/>
        </w:rPr>
      </w:pPr>
      <w:r>
        <w:rPr>
          <w:rFonts w:eastAsia="MV Boli" w:cs="MV Boli" w:ascii="Arial" w:hAnsi="Arial"/>
          <w:b/>
          <w:i/>
          <w:sz w:val="10"/>
          <w:szCs w:val="24"/>
        </w:rPr>
        <mc:AlternateContent>
          <mc:Choice Requires="wpg">
            <w:drawing>
              <wp:anchor behindDoc="0" distT="0" distB="0" distL="0" distR="0" simplePos="0" locked="0" layoutInCell="1" allowOverlap="1" relativeHeight="3" wp14:anchorId="28932137">
                <wp:simplePos x="0" y="0"/>
                <wp:positionH relativeFrom="page">
                  <wp:posOffset>1200785</wp:posOffset>
                </wp:positionH>
                <wp:positionV relativeFrom="paragraph">
                  <wp:posOffset>104775</wp:posOffset>
                </wp:positionV>
                <wp:extent cx="5372735" cy="10160"/>
                <wp:effectExtent l="0" t="0" r="19050" b="9525"/>
                <wp:wrapTopAndBottom/>
                <wp:docPr id="2" name="Group 9"/>
                <a:graphic xmlns:a="http://schemas.openxmlformats.org/drawingml/2006/main">
                  <a:graphicData uri="http://schemas.microsoft.com/office/word/2010/wordprocessingGroup">
                    <wpg:wgp>
                      <wpg:cNvGrpSpPr/>
                      <wpg:grpSpPr>
                        <a:xfrm>
                          <a:off x="0" y="0"/>
                          <a:ext cx="5372280" cy="9360"/>
                        </a:xfrm>
                      </wpg:grpSpPr>
                      <wps:wsp>
                        <wps:cNvSpPr/>
                        <wps:spPr>
                          <a:xfrm>
                            <a:off x="0" y="0"/>
                            <a:ext cx="5068080" cy="0"/>
                          </a:xfrm>
                          <a:prstGeom prst="line">
                            <a:avLst/>
                          </a:prstGeom>
                          <a:ln w="9000">
                            <a:solidFill>
                              <a:srgbClr val="387ac7"/>
                            </a:solidFill>
                            <a:round/>
                          </a:ln>
                        </wps:spPr>
                        <wps:style>
                          <a:lnRef idx="0"/>
                          <a:fillRef idx="0"/>
                          <a:effectRef idx="0"/>
                          <a:fontRef idx="minor"/>
                        </wps:style>
                        <wps:bodyPr/>
                      </wps:wsp>
                      <wps:wsp>
                        <wps:cNvSpPr/>
                        <wps:spPr>
                          <a:xfrm>
                            <a:off x="0" y="0"/>
                            <a:ext cx="5068080" cy="0"/>
                          </a:xfrm>
                          <a:prstGeom prst="line">
                            <a:avLst/>
                          </a:prstGeom>
                          <a:ln w="9000">
                            <a:solidFill>
                              <a:srgbClr val="387ac7"/>
                            </a:solidFill>
                            <a:round/>
                          </a:ln>
                        </wps:spPr>
                        <wps:style>
                          <a:lnRef idx="0"/>
                          <a:fillRef idx="0"/>
                          <a:effectRef idx="0"/>
                          <a:fontRef idx="minor"/>
                        </wps:style>
                        <wps:bodyPr/>
                      </wps:wsp>
                      <pic:pic xmlns:pic="http://schemas.openxmlformats.org/drawingml/2006/picture">
                        <pic:nvPicPr>
                          <pic:cNvPr id="0" name="Picture 5" descr=""/>
                          <pic:cNvPicPr/>
                        </pic:nvPicPr>
                        <pic:blipFill>
                          <a:blip r:embed="rId4"/>
                          <a:stretch/>
                        </pic:blipFill>
                        <pic:spPr>
                          <a:xfrm>
                            <a:off x="5294160" y="7560"/>
                            <a:ext cx="78120" cy="1800"/>
                          </a:xfrm>
                          <a:prstGeom prst="rect">
                            <a:avLst/>
                          </a:prstGeom>
                          <a:ln>
                            <a:noFill/>
                          </a:ln>
                        </pic:spPr>
                      </pic:pic>
                    </wpg:wgp>
                  </a:graphicData>
                </a:graphic>
              </wp:anchor>
            </w:drawing>
          </mc:Choice>
          <mc:Fallback>
            <w:pict>
              <v:group id="shape_0" alt="Group 9" style="position:absolute;margin-left:94.55pt;margin-top:8.25pt;width:423pt;height:0.75pt" coordorigin="1891,165" coordsize="8460,15">
                <v:line id="shape_0" from="1891,165" to="9871,165" ID="Line 3" stroked="t" style="position:absolute;mso-position-horizontal-relative:page">
                  <v:stroke color="#387ac7" weight="9000" joinstyle="round" endcap="flat"/>
                  <v:fill o:detectmouseclick="t" on="false"/>
                </v:line>
                <v:line id="shape_0" from="1891,165" to="9871,165" ID="Line 4" stroked="t" style="position:absolute;mso-position-horizontal-relative:page">
                  <v:stroke color="#387ac7" weight="9000" joinstyle="round" endcap="flat"/>
                  <v:fill o:detectmouseclick="t" on="false"/>
                </v:line>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5" stroked="f" style="position:absolute;left:10229;top:177;width:122;height:2;mso-position-horizontal-relative:page" type="shapetype_75">
                  <v:imagedata r:id="rId4" o:detectmouseclick="t"/>
                  <w10:wrap type="none"/>
                  <v:stroke color="#3465a4" joinstyle="round" endcap="flat"/>
                </v:shape>
              </v:group>
            </w:pict>
          </mc:Fallback>
        </mc:AlternateContent>
      </w:r>
    </w:p>
    <w:p>
      <w:pPr>
        <w:pStyle w:val="Normal"/>
        <w:widowControl w:val="false"/>
        <w:spacing w:lineRule="auto" w:line="240" w:before="0" w:after="0"/>
        <w:ind w:left="100" w:hanging="0"/>
        <w:rPr>
          <w:rFonts w:ascii="Arial" w:hAnsi="Arial" w:eastAsia="MV Boli" w:cs="MV Boli"/>
          <w:b/>
          <w:b/>
          <w:i/>
          <w:i/>
          <w:sz w:val="20"/>
          <w:szCs w:val="24"/>
        </w:rPr>
      </w:pPr>
      <w:r>
        <w:rPr>
          <w:rFonts w:eastAsia="MV Boli" w:cs="MV Boli" w:ascii="Arial" w:hAnsi="Arial"/>
          <w:b/>
          <w:i/>
          <w:sz w:val="20"/>
          <w:szCs w:val="24"/>
        </w:rPr>
      </w:r>
    </w:p>
    <w:p>
      <w:pPr>
        <w:pStyle w:val="Normal"/>
        <w:widowControl w:val="false"/>
        <w:spacing w:lineRule="auto" w:line="240" w:before="9" w:after="0"/>
        <w:rPr>
          <w:rFonts w:ascii="Arial" w:hAnsi="Arial" w:eastAsia="MV Boli" w:cs="MV Boli"/>
          <w:b/>
          <w:b/>
          <w:i/>
          <w:i/>
          <w:sz w:val="17"/>
          <w:szCs w:val="24"/>
          <w:highlight w:val="yellow"/>
        </w:rPr>
      </w:pPr>
      <w:r>
        <w:rPr>
          <w:rFonts w:eastAsia="MV Boli" w:cs="MV Boli" w:ascii="Arial" w:hAnsi="Arial"/>
          <w:b/>
          <w:i/>
          <w:sz w:val="17"/>
          <w:szCs w:val="24"/>
          <w:highlight w:val="yellow"/>
        </w:rPr>
      </w:r>
    </w:p>
    <w:p>
      <w:pPr>
        <w:pStyle w:val="Title"/>
        <w:rPr>
          <w:rFonts w:eastAsia="Arial"/>
          <w:b w:val="false"/>
          <w:b w:val="false"/>
          <w:highlight w:val="yellow"/>
          <w:lang w:bidi="en-US"/>
        </w:rPr>
      </w:pPr>
      <w:r>
        <w:t>The Psychology of Anterior Cruciate Ligament Injury and Reconstruction</w:t>
      </w:r>
    </w:p>
    <w:p>
      <w:pPr>
        <w:pStyle w:val="Normal"/>
        <w:widowControl w:val="false"/>
        <w:spacing w:lineRule="auto" w:line="240" w:before="9" w:after="0"/>
        <w:ind w:left="100" w:hanging="0"/>
        <w:jc w:val="center"/>
        <w:rPr>
          <w:rFonts w:ascii="Arial" w:hAnsi="Arial" w:eastAsia="Arial" w:cs="Arial"/>
          <w:b/>
          <w:b/>
          <w:color w:val="2C2C2C"/>
          <w:sz w:val="30"/>
          <w:highlight w:val="yellow"/>
          <w:lang w:bidi="en-US"/>
        </w:rPr>
      </w:pPr>
      <w:r>
        <w:rPr>
          <w:rFonts w:eastAsia="Arial" w:cs="Arial" w:ascii="Arial" w:hAnsi="Arial"/>
          <w:b/>
          <w:color w:val="2C2C2C"/>
          <w:sz w:val="30"/>
          <w:highlight w:val="yellow"/>
          <w:lang w:bidi="en-US"/>
        </w:rPr>
      </w:r>
    </w:p>
    <w:p>
      <w:pPr>
        <w:pStyle w:val="Heading1"/>
        <w:rPr>
          <w:rFonts w:eastAsia="Arial"/>
          <w:highlight w:val="yellow"/>
          <w:lang w:bidi="en-US"/>
        </w:rPr>
      </w:pPr>
      <w:r>
        <w:t>AUTHOR: Carvajal Icus</w:t>
      </w:r>
    </w:p>
    <w:p>
      <w:pPr>
        <w:pStyle w:val="Normal"/>
        <w:rPr>
          <w:highlight w:val="yellow"/>
          <w:lang w:bidi="en-US"/>
        </w:rPr>
      </w:pPr>
      <w:r>
        <w:rPr>
          <w:highlight w:val="yellow"/>
          <w:lang w:bidi="en-US"/>
        </w:rPr>
      </w:r>
    </w:p>
    <w:p>
      <w:pPr>
        <w:pStyle w:val="Normal"/>
        <w:jc w:val="center"/>
        <w:rPr>
          <w:rFonts w:ascii="Arial" w:hAnsi="Arial" w:cs="Arial"/>
          <w:b/>
          <w:b/>
          <w:bCs/>
          <w:sz w:val="32"/>
          <w:szCs w:val="32"/>
          <w:lang w:bidi="en-US"/>
        </w:rPr>
      </w:pPr>
      <w:r>
        <w:rPr>
          <w:rFonts w:cs="Arial" w:ascii="Arial" w:hAnsi="Arial"/>
          <w:b/>
          <w:bCs/>
          <w:sz w:val="32"/>
          <w:szCs w:val="32"/>
          <w:lang w:bidi="en-US"/>
        </w:rPr>
        <w:t xml:space="preserve">1 </w:t>
      </w:r>
      <w:r>
        <w:rPr>
          <w:rFonts w:cs="Arial" w:ascii="Arial" w:hAnsi="Arial"/>
          <w:b/>
          <w:bCs/>
          <w:sz w:val="32"/>
          <w:szCs w:val="32"/>
          <w:lang w:bidi="en-US"/>
        </w:rPr>
        <w:t xml:space="preserve"> CE Credits</w:t>
      </w:r>
    </w:p>
    <w:p>
      <w:pPr>
        <w:pStyle w:val="Normal"/>
        <w:jc w:val="center"/>
        <w:rPr>
          <w:rFonts w:ascii="Arial" w:hAnsi="Arial" w:cs="Arial"/>
          <w:b/>
          <w:b/>
          <w:bCs/>
          <w:sz w:val="32"/>
          <w:szCs w:val="32"/>
          <w:lang w:bidi="en-US"/>
        </w:rPr>
      </w:pPr>
      <w:r>
        <w:rPr>
          <w:rFonts w:cs="Arial" w:ascii="Arial" w:hAnsi="Arial"/>
          <w:b/>
          <w:bCs/>
          <w:sz w:val="32"/>
          <w:szCs w:val="32"/>
          <w:lang w:bidi="en-US"/>
        </w:rPr>
        <w:t>HOMESTUDY</w:t>
      </w:r>
    </w:p>
    <w:p>
      <w:pPr>
        <w:pStyle w:val="Normal"/>
        <w:jc w:val="center"/>
        <w:rPr/>
      </w:pPr>
      <w:r>
        <w:rPr>
          <w:rFonts w:cs="Arial" w:ascii="Arial" w:hAnsi="Arial"/>
          <w:b/>
          <w:bCs/>
          <w:sz w:val="32"/>
          <w:szCs w:val="32"/>
          <w:lang w:bidi="en-US"/>
        </w:rPr>
        <w:t xml:space="preserve">Held online at </w:t>
      </w:r>
      <w:hyperlink r:id="rId5">
        <w:r>
          <w:rPr>
            <w:rStyle w:val="ListLabel4"/>
            <w:rFonts w:cs="Arial" w:ascii="Arial" w:hAnsi="Arial"/>
            <w:b/>
            <w:bCs/>
            <w:sz w:val="32"/>
            <w:szCs w:val="32"/>
            <w:lang w:bidi="en-US"/>
          </w:rPr>
          <w:t>www.webinarceclasses.com</w:t>
        </w:r>
      </w:hyperlink>
    </w:p>
    <w:p>
      <w:pPr>
        <w:pStyle w:val="Normal"/>
        <w:widowControl w:val="false"/>
        <w:spacing w:lineRule="exact" w:line="256" w:before="257" w:after="0"/>
        <w:jc w:val="center"/>
        <w:rPr>
          <w:rStyle w:val="Strong"/>
        </w:rPr>
      </w:pPr>
      <w:r>
        <w:rPr>
          <w:rStyle w:val="Strong"/>
        </w:rPr>
        <w:t>Online registration</w:t>
      </w:r>
    </w:p>
    <w:p>
      <w:pPr>
        <w:pStyle w:val="Normal"/>
        <w:jc w:val="center"/>
        <w:rPr>
          <w:rStyle w:val="Strong"/>
          <w:highlight w:val="yellow"/>
        </w:rPr>
      </w:pPr>
      <w:r>
        <w:rPr>
          <w:rStyle w:val="Strong"/>
        </w:rPr>
        <w:t xml:space="preserve">Cost: </w:t>
      </w:r>
      <w:r>
        <w:rPr>
          <w:rStyle w:val="Strong"/>
        </w:rPr>
        <w:t xml:space="preserve">$1 </w:t>
      </w:r>
      <w:r>
        <w:rPr>
          <w:rStyle w:val="Strong"/>
        </w:rPr>
        <w:t>DOLLARS</w:t>
      </w:r>
    </w:p>
    <w:p>
      <w:pPr>
        <w:pStyle w:val="Normal"/>
        <w:rPr>
          <w:highlight w:val="yellow"/>
          <w:lang w:bidi="en-US"/>
        </w:rPr>
      </w:pPr>
      <w:r>
        <w:rPr>
          <w:highlight w:val="yellow"/>
          <w:lang w:bidi="en-US"/>
        </w:rPr>
      </w:r>
    </w:p>
    <w:p>
      <w:pPr>
        <w:pStyle w:val="Normal"/>
        <w:widowControl w:val="false"/>
        <w:spacing w:lineRule="auto" w:line="240" w:before="9" w:after="0"/>
        <w:ind w:left="100" w:hanging="0"/>
        <w:rPr>
          <w:rFonts w:ascii="Arial" w:hAnsi="Arial" w:eastAsia="MV Boli" w:cs="MV Boli"/>
          <w:b/>
          <w:b/>
          <w:i/>
          <w:i/>
          <w:sz w:val="17"/>
          <w:szCs w:val="24"/>
          <w:highlight w:val="yellow"/>
        </w:rPr>
      </w:pPr>
      <w:r>
        <w:rPr>
          <w:rFonts w:eastAsia="MV Boli" w:cs="MV Boli" w:ascii="Arial" w:hAnsi="Arial"/>
          <w:b/>
          <w:i/>
          <w:sz w:val="17"/>
          <w:szCs w:val="24"/>
          <w:highlight w:val="yellow"/>
        </w:rPr>
      </w:r>
    </w:p>
    <w:p>
      <w:pPr>
        <w:pStyle w:val="Normal"/>
        <w:widowControl w:val="false"/>
        <w:spacing w:lineRule="auto" w:line="240" w:before="9" w:after="0"/>
        <w:ind w:left="100" w:hanging="0"/>
        <w:rPr>
          <w:rFonts w:ascii="Arial" w:hAnsi="Arial" w:eastAsia="MV Boli" w:cs="MV Boli"/>
          <w:b/>
          <w:b/>
          <w:i/>
          <w:i/>
          <w:sz w:val="17"/>
          <w:szCs w:val="24"/>
          <w:highlight w:val="yellow"/>
        </w:rPr>
      </w:pPr>
      <w:r>
        <w:rPr>
          <w:rFonts w:eastAsia="MV Boli" w:cs="MV Boli" w:ascii="Arial" w:hAnsi="Arial"/>
          <w:b/>
          <w:i/>
          <w:sz w:val="17"/>
          <w:szCs w:val="24"/>
          <w:highlight w:val="yellow"/>
        </w:rPr>
      </w:r>
    </w:p>
    <w:p>
      <w:pPr>
        <w:pStyle w:val="Highlight"/>
        <w:rPr/>
      </w:pPr>
      <w:r>
        <w:t>Audience: Licensed Psychologists, Counseling Psychologists, Rehabilitation Psychologists, Sport Psychologists, Clinical Psychologists and Graduate-Level Clinicians.</w:t>
      </w:r>
    </w:p>
    <w:p>
      <w:pPr>
        <w:pStyle w:val="Highlight"/>
        <w:rPr/>
      </w:pPr>
      <w:r>
        <w:t>Instructional Level: advanced</w:t>
      </w:r>
    </w:p>
    <w:p>
      <w:pPr>
        <w:pStyle w:val="Normal"/>
        <w:widowControl w:val="false"/>
        <w:numPr>
          <w:ilvl w:val="0"/>
          <w:numId w:val="0"/>
        </w:numPr>
        <w:spacing w:lineRule="auto" w:line="276" w:before="1" w:after="0"/>
        <w:outlineLvl w:val="0"/>
        <w:rPr>
          <w:rFonts w:ascii="Times New Roman" w:hAnsi="Times New Roman" w:eastAsia="Times New Roman" w:cs="Times New Roman"/>
          <w:b/>
          <w:b/>
          <w:bCs/>
          <w:sz w:val="24"/>
          <w:szCs w:val="24"/>
          <w:lang w:bidi="en-US"/>
        </w:rPr>
      </w:pPr>
      <w:r>
        <w:rPr>
          <w:rFonts w:eastAsia="Times New Roman" w:cs="Times New Roman" w:ascii="Times New Roman" w:hAnsi="Times New Roman"/>
          <w:b/>
          <w:bCs/>
          <w:sz w:val="24"/>
          <w:szCs w:val="24"/>
          <w:lang w:bidi="en-US"/>
        </w:rPr>
      </w:r>
    </w:p>
    <w:p>
      <w:pPr>
        <w:pStyle w:val="Heading2"/>
        <w:rPr>
          <w:rFonts w:eastAsia="Times New Roman"/>
          <w:b w:val="false"/>
          <w:b w:val="false"/>
          <w:highlight w:val="yellow"/>
          <w:lang w:bidi="en-US"/>
        </w:rPr>
      </w:pPr>
      <w:r>
        <w:rPr>
          <w:rFonts w:eastAsia="Times New Roman"/>
          <w:lang w:bidi="en-US"/>
        </w:rPr>
        <w:t>Course Goals and Educational Objectives:</w:t>
      </w:r>
    </w:p>
    <w:p>
      <w:pPr>
        <w:pStyle w:val="Normal"/>
        <w:widowControl w:val="false"/>
        <w:spacing w:lineRule="auto" w:line="276" w:before="10" w:after="0"/>
        <w:ind w:left="100" w:hanging="0"/>
        <w:rPr>
          <w:rFonts w:ascii="Times New Roman" w:hAnsi="Times New Roman" w:eastAsia="MV Boli" w:cs="Times New Roman"/>
          <w:b/>
          <w:b/>
          <w:i/>
          <w:i/>
          <w:sz w:val="24"/>
          <w:szCs w:val="24"/>
        </w:rPr>
      </w:pPr>
      <w:r>
        <w:rPr>
          <w:rFonts w:eastAsia="MV Boli" w:cs="Times New Roman" w:ascii="Times New Roman" w:hAnsi="Times New Roman"/>
          <w:b/>
          <w:i/>
          <w:sz w:val="24"/>
          <w:szCs w:val="24"/>
        </w:rPr>
      </w:r>
    </w:p>
    <w:p>
      <w:pPr>
        <w:pStyle w:val="Normal"/>
        <w:spacing w:lineRule="auto" w:line="276"/>
        <w:rPr>
          <w:rFonts w:ascii="Times New Roman" w:hAnsi="Times New Roman" w:eastAsia="Calibri" w:cs="Times New Roman"/>
          <w:b/>
          <w:b/>
          <w:sz w:val="24"/>
          <w:szCs w:val="24"/>
          <w:highlight w:val="yellow"/>
        </w:rPr>
      </w:pPr>
      <w:r>
        <w:rPr>
          <w:rFonts w:eastAsia="Calibri" w:cs="Times New Roman" w:ascii="Times New Roman" w:hAnsi="Times New Roman"/>
          <w:b/>
          <w:sz w:val="24"/>
          <w:szCs w:val="24"/>
        </w:rPr>
        <w:t>The attendees will be able to:</w:t>
      </w:r>
    </w:p>
    <w:p>
      <w:pPr>
        <w:pStyle w:val="Highlight"/>
        <w:rPr>
          <w:b/>
          <w:b/>
          <w:bCs/>
          <w:highlight w:val="yellow"/>
        </w:rPr>
      </w:pPr>
      <w:r>
        <w:t>1. Describe 5 sequential stages of ACL reconstruction rehabilitation and the psychological demands of each stage.</w:t>
        <w:br/>
        <w:t>2. Identify 4 psychological theories relevant to ACL recovery including fear-avoidance and self-determination theory.</w:t>
        <w:br/>
        <w:t>3. Explain 3 key psychological risk factors that threaten ACL rehabilitation adherence and recovery.</w:t>
        <w:br/>
        <w:t>4. Evaluate 4 intervention modalities for psychological support in ACL rehabilitation, including cognitive-behavioral techniques and motivational interviewing.</w:t>
        <w:br/>
        <w:t>5. Assess 4 system-level and contextual psychological effects influencing ACL recovery such as family, workplace, and team dynamics.</w:t>
      </w:r>
    </w:p>
    <w:p>
      <w:pPr>
        <w:pStyle w:val="Highlight"/>
        <w:rPr>
          <w:highlight w:val="yellow"/>
        </w:rPr>
      </w:pPr>
      <w:r>
        <w:t>Course Description: This continuing education manual provides a scholarly integration of a structured ACL reconstruction rehabilitation protocol with psychological principles. It presents a biopsychosocial framework exploring the psychological demands across five stages of recovery. The course covers adherence, motivation, fear of reinjury, identity disruption, and intervention strategies for licensed and training psychologists to support ACL patients through a complex rehabilitation process extending over nine months or more.</w:t>
      </w:r>
    </w:p>
    <w:p>
      <w:pPr>
        <w:pStyle w:val="Normal"/>
        <w:widowControl w:val="false"/>
        <w:numPr>
          <w:ilvl w:val="0"/>
          <w:numId w:val="0"/>
        </w:numPr>
        <w:spacing w:lineRule="auto" w:line="276" w:before="165" w:after="0"/>
        <w:jc w:val="center"/>
        <w:outlineLvl w:val="0"/>
        <w:rPr>
          <w:rFonts w:ascii="Times New Roman" w:hAnsi="Times New Roman" w:eastAsia="Times New Roman" w:cs="Times New Roman"/>
          <w:b/>
          <w:b/>
          <w:bCs/>
          <w:sz w:val="24"/>
          <w:szCs w:val="24"/>
          <w:lang w:bidi="en-US"/>
        </w:rPr>
      </w:pPr>
      <w:r>
        <w:rPr>
          <w:rFonts w:eastAsia="Times New Roman" w:cs="Times New Roman" w:ascii="Times New Roman" w:hAnsi="Times New Roman"/>
          <w:b/>
          <w:bCs/>
          <w:sz w:val="24"/>
          <w:szCs w:val="24"/>
          <w:lang w:bidi="en-US"/>
        </w:rPr>
        <w:t>Conflicts of Interest Policy</w:t>
      </w:r>
    </w:p>
    <w:p>
      <w:r>
        <w:t xml:space="preserve">(Edited ) HBK As an APA-approved sponsor of continuing education, WebinarCeclasses is committed to the identification and resolution of potential conflicts of interest in the planning, promotion, delivery, and evaluation of continuing education. Consistent with concepts outlined in the APA Ethical Principles of Psychologists and Code of Conduct, potential conflicts of interest occur when an individual assumes a professional role in the planning, promotion, delivery, or evaluation of continuing education where personal, professional, legal, financial, or other interests could reasonably be expected to impair his or her objectivity, competence, or effectiveness.</w:t>
      </w:r>
    </w:p>
    <w:p>
      <w:r>
        <w:t xml:space="preserve">Potential Conflicts of Interest in the Planning of Continuing Education</w:t>
      </w:r>
    </w:p>
    <w:p>
      <w:r>
        <w:t xml:space="preserve">Dr. Carvajal is responsible to identify, declare, and resolve any potential conflict of interest WebinarCEclasses may have in offering any specific program of continuing education. In the event of a potential conflict of interest, Dr. Carvajal will assume responsibility to resolve the potential conflict by:</w:t>
      </w:r>
    </w:p>
    <w:p>
      <w:r>
        <w:t xml:space="preserve">A. Informing persons involved of the existence of the conflict</w:t>
      </w:r>
    </w:p>
    <w:p>
      <w:r>
        <w:t xml:space="preserve">B. Allowing persons involved to examine and rectify the conflict</w:t>
      </w:r>
    </w:p>
    <w:p>
      <w:r>
        <w:t xml:space="preserve">C. Reviewing whether the conflict was indeed resolved</w:t>
      </w:r>
    </w:p>
    <w:p>
      <w:r>
        <w:t xml:space="preserve">D. Requesting updates and reviews until the conflict is fully resolved</w:t>
      </w:r>
    </w:p>
    <w:p>
      <w:r>
        <w:t xml:space="preserve">WebinarCEclasses requires that professionals participating in the planning of continuing education identify any potential conflict of interest they may have in the review, selection, development, delivery, or evaluation of that program and disclose the conflict or recuse themselves from any decision-making concerning that program. In the event of a potential conflict of interest, Dr. Carvajal will ensure that the individual recuses him or herself from the planning process.</w:t>
      </w:r>
    </w:p>
    <w:p>
      <w:r>
        <w:t xml:space="preserve">Potential Conflicts of Interest in the Promotion of Continuing Education</w:t>
      </w:r>
    </w:p>
    <w:p>
      <w:r>
        <w:t xml:space="preserve">When preparing promotional material for continuing education, WebinarCEclasses includes information concerning any financial support, including in-kind support, provided by another party. WebinarCEclasses also informs potential participants of any potential conflicts of interest an instructor. If there is no financial support or any potential conflict of interest or commercial support, WebinarCEclasses will ensure that is clearly stated in the promotional material. If information about financial support or any potential conflict of interest is not included in the promotional material prepared for continuing education, WebinarCEclasses will clearly indicate how a potential participant can secure that information.</w:t>
      </w:r>
    </w:p>
    <w:p>
      <w:r>
        <w:t xml:space="preserve">Potential Conflicts of Interest in the Delivery of Continuing Education</w:t>
      </w:r>
    </w:p>
    <w:p>
      <w:r>
        <w:t xml:space="preserve">WebinarCEclasses requires that there is a process to clearly describe any financial support for a continuing education program at the time the continuing education program begins. Any other relationship that could be reasonably construed as a conflict of interest will also be disclosed. If there is no financial support or potential conflict of interest, WebinarCEclasses will ensure there is a process (e.g., a designated individual or a slide at the start of the presentation, documentation in materials) to clearly state any potential conflicts at the time the continuing education program begins.</w:t>
      </w:r>
    </w:p>
    <w:p>
      <w:r>
        <w:t xml:space="preserve">The author receives an honorarium payment from webinarceclasses</w:t>
      </w:r>
    </w:p>
    <w:p>
      <w:r>
        <w:t xml:space="preserve">"WebinarCEclasses is approved by the American Psychological Association to sponsor continuing education for psychologists. WebinarCEclasses maintains responsibility for this program and its content."</w:t>
      </w:r>
    </w:p>
    <w:p>
      <w:pPr>
        <w:pStyle w:val="Normal"/>
        <w:widowControl w:val="false"/>
        <w:spacing w:lineRule="auto" w:line="276" w:before="100" w:after="0"/>
        <w:ind w:right="840" w:hanging="0"/>
        <w:jc w:val="center"/>
        <w:rPr>
          <w:rFonts w:ascii="Times New Roman" w:hAnsi="Times New Roman" w:eastAsia="MV Boli" w:cs="Times New Roman"/>
          <w:b/>
          <w:b/>
          <w:sz w:val="24"/>
          <w:szCs w:val="24"/>
        </w:rPr>
      </w:pPr>
      <w:r>
        <w:rPr>
          <w:rFonts w:eastAsia="MV Boli" w:cs="Times New Roman" w:ascii="Times New Roman" w:hAnsi="Times New Roman"/>
          <w:b/>
          <w:color w:val="231F20"/>
          <w:sz w:val="24"/>
          <w:szCs w:val="24"/>
        </w:rPr>
        <w:t>GRIEVANCE PROCEDURE</w:t>
      </w:r>
    </w:p>
    <w:p>
      <w:r>
        <w:t xml:space="preserve">(Edited ) HBK Webinarceclasses is fully committed to conducting all activities in strict conformance with the American Psychological Association’s Ethical Principles of Psychologists and the standards of the Association of Social Work Boards. Webinarceclasses will comply with all legal and ethical responsibilities to be non-discriminatory in promotional activities, program content, and in the treatment of program participants. The monitoring and assessment of compliance with these standards will be the responsibility of Dr. Carvajal, Ph.D.</w:t>
      </w:r>
    </w:p>
    <w:p>
      <w:r>
        <w:t xml:space="preserve">While Webinarceclasses goes to great lengths to assure fair treatment for all participants and attempts to anticipate problems, there will be occasional issues which come to the attention of our staff which require intervention and/or action on the part of an officer of our company. This procedural description serves as a guideline for handling such grievances.</w:t>
      </w:r>
    </w:p>
    <w:p>
      <w:r>
        <w:t xml:space="preserve">Seminar participants will be asked to provide written feedback about the seminar at the end of the presentation. Space will be included to express any grievance they might have with the program. When a participant, either orally or in written format, files a grievance or expects action on the complaint, the following actions will be taken:</w:t>
      </w:r>
    </w:p>
    <w:p>
      <w:r>
        <w:t xml:space="preserve">1. If the grievance concerns a speaker, the content presented by the speaker, or the style of presentation, the individual filing the grievance will be asked to put his/her comments in written format. Dr. Carvajal will then pass on the comments to the speaker, assuring the confidentiality of the grieved individual.</w:t>
      </w:r>
    </w:p>
    <w:p>
      <w:r>
        <w:t xml:space="preserve">2. If the grievance concerns a workshop offering, its content, level of presentation, or the facilities in which the workshop was offered, Dr. Carvajal will mediate and will be the final arbitrator. If the participant requests action, the CEO will:</w:t>
      </w:r>
    </w:p>
    <w:p>
      <w:r>
        <w:t xml:space="preserve">a. attempt to move the participant to another workshop or</w:t>
      </w:r>
    </w:p>
    <w:p>
      <w:r>
        <w:t xml:space="preserve">b. provide a credit for a subsequent year’s workshop or</w:t>
      </w:r>
    </w:p>
    <w:p>
      <w:r>
        <w:t xml:space="preserve">c. provide a partial or full refund of the workshop fee</w:t>
      </w:r>
    </w:p>
    <w:p>
      <w:r>
        <w:t xml:space="preserve">Actions 2b and 2c will require a written note, documenting the grievance, for record keeping purposes. The note need not be signed by the grieved individual.</w:t>
      </w:r>
    </w:p>
    <w:p>
      <w:r>
        <w:t xml:space="preserve">3. If the grievance concerns Webinarceclasses CE program, in a specific regard, Dr. Carvajal will attempt to arbitrate.</w:t>
      </w:r>
    </w:p>
    <w:p>
      <w:r>
        <w:t xml:space="preserve">Please go to Webinarceclasses.com to submit a complaint, or if you have additional questions.</w:t>
      </w:r>
    </w:p>
    <w:p>
      <w:r>
        <w:t xml:space="preserve">Additionally, you can send your complaints to:</w:t>
      </w:r>
    </w:p>
    <w:p>
      <w:r>
        <w:t xml:space="preserve">Franklin Carvajal</w:t>
      </w:r>
    </w:p>
    <w:p>
      <w:r>
        <w:t xml:space="preserve">3456 Wesley Street</w:t>
      </w:r>
    </w:p>
    <w:p>
      <w:r>
        <w:t xml:space="preserve">Culver City, CA 90232</w:t>
      </w:r>
    </w:p>
    <w:sectPr>
      <w:type w:val="nextPage"/>
      <w:pgSz w:w="12240" w:h="15840"/>
      <w:pgMar w:left="1440" w:right="1440" w:header="0" w:top="117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upperLetter"/>
      <w:lvlText w:val="%1."/>
      <w:lvlJc w:val="left"/>
      <w:pPr>
        <w:ind w:left="460" w:hanging="360"/>
      </w:p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2">
    <w:lvl w:ilvl="0">
      <w:start w:val="1"/>
      <w:numFmt w:val="decimal"/>
      <w:lvlText w:val="%1."/>
      <w:lvlJc w:val="left"/>
      <w:pPr>
        <w:ind w:left="460" w:hanging="360"/>
      </w:pPr>
      <w:rPr>
        <w:sz w:val="24"/>
        <w:rFonts w:ascii="Times New Roman" w:hAnsi="Times New Roman"/>
        <w:color w:val="231F20"/>
      </w:rPr>
    </w:lvl>
    <w:lvl w:ilvl="1">
      <w:start w:val="1"/>
      <w:numFmt w:val="lowerLetter"/>
      <w:lvlText w:val="%2."/>
      <w:lvlJc w:val="left"/>
      <w:pPr>
        <w:ind w:left="1180" w:hanging="360"/>
      </w:pPr>
      <w:rPr>
        <w:sz w:val="24"/>
        <w:rFonts w:ascii="Times New Roman" w:hAnsi="Times New Roman" w:eastAsia="MV Boli" w:cs="Times New Roman"/>
      </w:r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a1f30"/>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be5223"/>
    <w:pPr>
      <w:keepNext w:val="true"/>
      <w:keepLines/>
      <w:spacing w:before="240" w:after="0"/>
      <w:jc w:val="center"/>
      <w:outlineLvl w:val="0"/>
    </w:pPr>
    <w:rPr>
      <w:rFonts w:ascii="Arial" w:hAnsi="Arial" w:eastAsia="" w:cs="Times New Roman" w:cstheme="majorBidi" w:eastAsiaTheme="majorEastAsia"/>
      <w:b/>
      <w:sz w:val="32"/>
      <w:szCs w:val="32"/>
      <w:highlight w:val="yellow"/>
    </w:rPr>
  </w:style>
  <w:style w:type="paragraph" w:styleId="Heading2">
    <w:name w:val="Heading 2"/>
    <w:basedOn w:val="Normal"/>
    <w:next w:val="Normal"/>
    <w:link w:val="Heading2Char"/>
    <w:autoRedefine/>
    <w:uiPriority w:val="9"/>
    <w:unhideWhenUsed/>
    <w:qFormat/>
    <w:rsid w:val="003a1f30"/>
    <w:pPr>
      <w:keepNext w:val="true"/>
      <w:keepLines/>
      <w:spacing w:before="40" w:after="0"/>
      <w:jc w:val="center"/>
      <w:outlineLvl w:val="1"/>
    </w:pPr>
    <w:rPr>
      <w:rFonts w:ascii="Times New Roman" w:hAnsi="Times New Roman" w:eastAsia="" w:cs="Times New Roman" w:asciiTheme="majorBidi" w:cstheme="majorBidi" w:eastAsiaTheme="majorEastAsia" w:hAnsiTheme="majorBidi"/>
      <w:b/>
      <w:sz w:val="24"/>
      <w:szCs w:val="26"/>
    </w:rPr>
  </w:style>
  <w:style w:type="character" w:styleId="DefaultParagraphFont" w:default="1">
    <w:name w:val="Default Paragraph Font"/>
    <w:uiPriority w:val="1"/>
    <w:semiHidden/>
    <w:unhideWhenUsed/>
    <w:qFormat/>
    <w:rPr>
      <w:highlight w:val="yellow"/>
    </w:rPr>
  </w:style>
  <w:style w:type="character" w:styleId="InternetLink">
    <w:name w:val="Internet Link"/>
    <w:basedOn w:val="DefaultParagraphFont"/>
    <w:uiPriority w:val="99"/>
    <w:unhideWhenUsed/>
    <w:rsid w:val="004269a5"/>
    <w:rPr>
      <w:color w:val="0563C1" w:themeColor="hyperlink"/>
      <w:u w:val="single"/>
    </w:rPr>
  </w:style>
  <w:style w:type="character" w:styleId="UnresolvedMention" w:customStyle="1">
    <w:name w:val="Unresolved Mention"/>
    <w:basedOn w:val="DefaultParagraphFont"/>
    <w:uiPriority w:val="99"/>
    <w:semiHidden/>
    <w:unhideWhenUsed/>
    <w:qFormat/>
    <w:rsid w:val="004269a5"/>
    <w:rPr>
      <w:color w:val="605E5C"/>
      <w:shd w:fill="E1DFDD" w:val="clear"/>
    </w:rPr>
  </w:style>
  <w:style w:type="character" w:styleId="TitleChar" w:customStyle="1">
    <w:name w:val="Title Char"/>
    <w:basedOn w:val="DefaultParagraphFont"/>
    <w:link w:val="Title"/>
    <w:uiPriority w:val="10"/>
    <w:qFormat/>
    <w:rsid w:val="003a1f30"/>
    <w:rPr>
      <w:rFonts w:ascii="Arial" w:hAnsi="Arial" w:eastAsia="" w:cs="Times New Roman" w:asciiTheme="minorBidi" w:cstheme="majorBidi" w:eastAsiaTheme="majorEastAsia" w:hAnsiTheme="minorBidi"/>
      <w:b/>
      <w:spacing w:val="-10"/>
      <w:kern w:val="2"/>
      <w:sz w:val="30"/>
      <w:szCs w:val="56"/>
    </w:rPr>
  </w:style>
  <w:style w:type="character" w:styleId="Heading1Char" w:customStyle="1">
    <w:name w:val="Heading 1 Char"/>
    <w:basedOn w:val="DefaultParagraphFont"/>
    <w:link w:val="Heading1"/>
    <w:uiPriority w:val="9"/>
    <w:qFormat/>
    <w:rsid w:val="00be5223"/>
    <w:rPr>
      <w:rFonts w:ascii="Arial" w:hAnsi="Arial" w:eastAsia="" w:cs="Times New Roman" w:cstheme="majorBidi" w:eastAsiaTheme="majorEastAsia"/>
      <w:b/>
      <w:sz w:val="32"/>
      <w:szCs w:val="32"/>
    </w:rPr>
  </w:style>
  <w:style w:type="character" w:styleId="Heading2Char" w:customStyle="1">
    <w:name w:val="Heading 2 Char"/>
    <w:basedOn w:val="DefaultParagraphFont"/>
    <w:link w:val="Heading2"/>
    <w:uiPriority w:val="9"/>
    <w:qFormat/>
    <w:rsid w:val="003a1f30"/>
    <w:rPr>
      <w:rFonts w:ascii="Times New Roman" w:hAnsi="Times New Roman" w:eastAsia="" w:cs="Times New Roman" w:asciiTheme="majorBidi" w:cstheme="majorBidi" w:eastAsiaTheme="majorEastAsia" w:hAnsiTheme="majorBidi"/>
      <w:b/>
      <w:sz w:val="24"/>
      <w:szCs w:val="26"/>
    </w:rPr>
  </w:style>
  <w:style w:type="character" w:styleId="Strong">
    <w:name w:val="Strong"/>
    <w:basedOn w:val="DefaultParagraphFont"/>
    <w:uiPriority w:val="22"/>
    <w:qFormat/>
    <w:rsid w:val="00be5223"/>
    <w:rPr>
      <w:rFonts w:ascii="Arial" w:hAnsi="Arial"/>
      <w:b/>
      <w:bCs/>
      <w:sz w:val="24"/>
      <w:highlight w:val="yellow"/>
    </w:rPr>
  </w:style>
  <w:style w:type="character" w:styleId="HighlightChar" w:customStyle="1">
    <w:name w:val="highlight Char"/>
    <w:basedOn w:val="DefaultParagraphFont"/>
    <w:link w:val="highlight"/>
    <w:qFormat/>
    <w:rsid w:val="00dd4e7a"/>
    <w:rPr>
      <w:rFonts w:ascii="Times New Roman" w:hAnsi="Times New Roman" w:eastAsia="Calibri" w:cs="Times New Roman"/>
      <w:sz w:val="24"/>
      <w:szCs w:val="24"/>
    </w:rPr>
  </w:style>
  <w:style w:type="character" w:styleId="ListLabel1">
    <w:name w:val="ListLabel 1"/>
    <w:qFormat/>
    <w:rPr>
      <w:rFonts w:ascii="Times New Roman" w:hAnsi="Times New Roman"/>
      <w:color w:val="231F20"/>
      <w:sz w:val="24"/>
    </w:rPr>
  </w:style>
  <w:style w:type="character" w:styleId="ListLabel2">
    <w:name w:val="ListLabel 2"/>
    <w:qFormat/>
    <w:rPr>
      <w:rFonts w:ascii="Times New Roman" w:hAnsi="Times New Roman" w:eastAsia="MV Boli" w:cs="Times New Roman"/>
      <w:sz w:val="24"/>
    </w:rPr>
  </w:style>
  <w:style w:type="character" w:styleId="ListLabel3">
    <w:name w:val="ListLabel 3"/>
    <w:qFormat/>
    <w:rPr>
      <w:rFonts w:ascii="Arial" w:hAnsi="Arial" w:eastAsia="Calibri" w:cs="Times New Roman"/>
      <w:b/>
      <w:sz w:val="39"/>
    </w:rPr>
  </w:style>
  <w:style w:type="character" w:styleId="ListLabel4">
    <w:name w:val="ListLabel 4"/>
    <w:qFormat/>
    <w:rPr>
      <w:rFonts w:ascii="Arial" w:hAnsi="Arial" w:cs="Arial"/>
      <w:b/>
      <w:bCs/>
      <w:sz w:val="32"/>
      <w:szCs w:val="32"/>
      <w:lang w:bidi="en-US"/>
    </w:rPr>
  </w:style>
  <w:style w:type="paragraph" w:styleId="Heading">
    <w:name w:val="Heading"/>
    <w:basedOn w:val="Normal"/>
    <w:next w:val="TextBody"/>
    <w:qFormat/>
    <w:pPr>
      <w:keepNext w:val="true"/>
      <w:spacing w:before="240" w:after="120"/>
    </w:pPr>
    <w:rPr>
      <w:rFonts w:ascii="Arial" w:hAnsi="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autoRedefine/>
    <w:uiPriority w:val="10"/>
    <w:qFormat/>
    <w:rsid w:val="003a1f30"/>
    <w:pPr>
      <w:spacing w:lineRule="auto" w:line="240" w:before="0" w:after="0"/>
      <w:contextualSpacing/>
      <w:jc w:val="center"/>
    </w:pPr>
    <w:rPr>
      <w:rFonts w:ascii="Arial" w:hAnsi="Arial" w:eastAsia="" w:cs="Times New Roman" w:asciiTheme="minorBidi" w:cstheme="majorBidi" w:eastAsiaTheme="majorEastAsia" w:hAnsiTheme="minorBidi"/>
      <w:b/>
      <w:spacing w:val="-10"/>
      <w:kern w:val="2"/>
      <w:sz w:val="30"/>
      <w:szCs w:val="56"/>
      <w:highlight w:val="yellow"/>
    </w:rPr>
  </w:style>
  <w:style w:type="paragraph" w:styleId="Highlight" w:customStyle="1">
    <w:name w:val="highlight"/>
    <w:basedOn w:val="Normal"/>
    <w:link w:val="highlightChar"/>
    <w:qFormat/>
    <w:rsid w:val="00dd4e7a"/>
    <w:pPr>
      <w:spacing w:lineRule="auto" w:line="276"/>
    </w:pPr>
    <w:rPr>
      <w:rFonts w:ascii="Times New Roman" w:hAnsi="Times New Roman" w:eastAsia="Calibri" w:cs="Times New Roman"/>
      <w:sz w:val="24"/>
      <w:szCs w:val="24"/>
      <w:highlight w:val="yellow"/>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WEBINARCECLASSES.COM/" TargetMode="External"/><Relationship Id="rId4" Type="http://schemas.openxmlformats.org/officeDocument/2006/relationships/image" Target="media/image2.png"/><Relationship Id="rId5" Type="http://schemas.openxmlformats.org/officeDocument/2006/relationships/hyperlink" Target="http://www.webinarceclasses.com/"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Application>Trio_Office/6.2.8.2$Windows_x86 LibreOffice_project/</Application>
  <Pages>5</Pages>
  <Words>1270</Words>
  <Characters>7702</Characters>
  <CharactersWithSpaces>8916</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2020-07-19T17:33:00Z</dcterms:created>
  <dc:creator>Franklin Carvajal</dc:creator>
  <dc:description/>
  <dc:language>en-US</dc:language>
  <cp:lastModifiedBy/>
  <dcterms:modified xsi:type="dcterms:W3CDTF">2026-05-15T14:06:44Z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